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D0E" w14:textId="77777777" w:rsidR="00D17E88" w:rsidRDefault="007F2224" w:rsidP="004931B9">
      <w:pPr>
        <w:jc w:val="right"/>
        <w:rPr>
          <w:rFonts w:ascii="Saira" w:hAnsi="Saira"/>
          <w:b/>
          <w:bCs/>
          <w:color w:val="7F7F7F"/>
          <w:sz w:val="44"/>
          <w:szCs w:val="44"/>
        </w:rPr>
      </w:pPr>
      <w:r w:rsidRPr="008E6EB0">
        <w:rPr>
          <w:rFonts w:ascii="Saira" w:hAnsi="Saira"/>
          <w:b/>
          <w:bCs/>
          <w:noProof/>
          <w:color w:val="7F7F7F"/>
          <w:sz w:val="44"/>
          <w:szCs w:val="44"/>
          <w:lang w:eastAsia="de-DE"/>
        </w:rPr>
        <w:drawing>
          <wp:inline distT="0" distB="0" distL="0" distR="0" wp14:anchorId="06DD2B86" wp14:editId="429BC90C">
            <wp:extent cx="2901600" cy="630000"/>
            <wp:effectExtent l="0" t="0" r="0" b="0"/>
            <wp:docPr id="1" name="Grafik 1" descr="V:\allgemein\Vorlagen\Kommunikation und Marketing\Logos\THD_DIT\THD-Logo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lgemein\Vorlagen\Kommunikation und Marketing\Logos\THD_DIT\THD-Logo_gra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1600" cy="630000"/>
                    </a:xfrm>
                    <a:prstGeom prst="rect">
                      <a:avLst/>
                    </a:prstGeom>
                    <a:noFill/>
                    <a:ln>
                      <a:noFill/>
                    </a:ln>
                  </pic:spPr>
                </pic:pic>
              </a:graphicData>
            </a:graphic>
          </wp:inline>
        </w:drawing>
      </w:r>
    </w:p>
    <w:p w14:paraId="12C04E7E" w14:textId="212C7A67" w:rsidR="00D538D7" w:rsidRPr="008E6EB0" w:rsidRDefault="00D538D7" w:rsidP="00100B6F">
      <w:pPr>
        <w:rPr>
          <w:rFonts w:ascii="Saira" w:hAnsi="Saira"/>
          <w:b/>
          <w:bCs/>
          <w:color w:val="7F7F7F"/>
          <w:sz w:val="44"/>
          <w:szCs w:val="44"/>
        </w:rPr>
      </w:pPr>
    </w:p>
    <w:p w14:paraId="28869707" w14:textId="77777777" w:rsidR="00D17E88" w:rsidRPr="008E6EB0" w:rsidRDefault="00D17E88" w:rsidP="00D17E88">
      <w:pPr>
        <w:rPr>
          <w:rFonts w:ascii="Saira" w:hAnsi="Saira"/>
          <w:b/>
          <w:bCs/>
          <w:color w:val="7F7F7F"/>
          <w:sz w:val="44"/>
          <w:szCs w:val="44"/>
        </w:rPr>
      </w:pPr>
    </w:p>
    <w:p w14:paraId="4E5CA5CF" w14:textId="77777777" w:rsidR="00DF2A67" w:rsidRPr="008E6EB0" w:rsidRDefault="006A3933" w:rsidP="00DF2A67">
      <w:pPr>
        <w:rPr>
          <w:rFonts w:ascii="Saira" w:hAnsi="Saira"/>
          <w:b/>
          <w:bCs/>
          <w:color w:val="7F7F7F"/>
          <w:sz w:val="44"/>
          <w:szCs w:val="44"/>
        </w:rPr>
      </w:pPr>
      <w:r w:rsidRPr="008E6EB0">
        <w:rPr>
          <w:rFonts w:ascii="Saira" w:hAnsi="Saira"/>
          <w:b/>
          <w:bCs/>
          <w:color w:val="7F7F7F"/>
          <w:sz w:val="44"/>
          <w:szCs w:val="44"/>
        </w:rPr>
        <w:t>Pressemitteilung</w:t>
      </w:r>
    </w:p>
    <w:p w14:paraId="5351CDDD" w14:textId="77777777" w:rsidR="00DF2A67" w:rsidRPr="008E6EB0" w:rsidRDefault="00DF2A67" w:rsidP="00DF2A67">
      <w:pPr>
        <w:rPr>
          <w:rFonts w:ascii="Saira" w:hAnsi="Saira"/>
        </w:rPr>
      </w:pPr>
    </w:p>
    <w:p w14:paraId="3D549693" w14:textId="73D700C7" w:rsidR="004B4C78" w:rsidRPr="008726D7" w:rsidRDefault="004B4C78" w:rsidP="004B4C78">
      <w:pPr>
        <w:rPr>
          <w:rFonts w:ascii="Saira" w:hAnsi="Saira"/>
          <w:sz w:val="20"/>
          <w:szCs w:val="20"/>
        </w:rPr>
      </w:pPr>
      <w:r w:rsidRPr="008726D7">
        <w:rPr>
          <w:rFonts w:ascii="Saira" w:hAnsi="Saira"/>
          <w:sz w:val="20"/>
          <w:szCs w:val="20"/>
        </w:rPr>
        <w:t>[</w:t>
      </w:r>
      <w:r>
        <w:rPr>
          <w:rFonts w:ascii="Saira" w:hAnsi="Saira"/>
          <w:sz w:val="20"/>
          <w:szCs w:val="20"/>
        </w:rPr>
        <w:t>2.865</w:t>
      </w:r>
      <w:r w:rsidRPr="008726D7">
        <w:rPr>
          <w:rFonts w:ascii="Saira" w:hAnsi="Saira"/>
          <w:sz w:val="20"/>
          <w:szCs w:val="20"/>
        </w:rPr>
        <w:t xml:space="preserve"> Zeichen inklusive Leerzeichen]</w:t>
      </w:r>
    </w:p>
    <w:p w14:paraId="132447E6" w14:textId="77777777" w:rsidR="007218A4" w:rsidRPr="00B25B2F" w:rsidRDefault="007218A4" w:rsidP="00DF2A67">
      <w:pPr>
        <w:rPr>
          <w:rFonts w:ascii="Saira" w:hAnsi="Saira"/>
          <w:highlight w:val="yellow"/>
        </w:rPr>
      </w:pPr>
    </w:p>
    <w:p w14:paraId="71E705EA" w14:textId="4CD82DFA" w:rsidR="00DF2A67" w:rsidRPr="00E1108E" w:rsidRDefault="00EE5CE3" w:rsidP="00DF2A67">
      <w:pPr>
        <w:rPr>
          <w:rFonts w:ascii="Saira" w:hAnsi="Saira"/>
        </w:rPr>
      </w:pPr>
      <w:r>
        <w:rPr>
          <w:rFonts w:ascii="Saira" w:hAnsi="Saira"/>
        </w:rPr>
        <w:t>30</w:t>
      </w:r>
      <w:r w:rsidR="001E1794">
        <w:rPr>
          <w:rFonts w:ascii="Saira" w:hAnsi="Saira"/>
        </w:rPr>
        <w:t>.</w:t>
      </w:r>
      <w:r w:rsidR="00D33F2A" w:rsidRPr="004C1D77">
        <w:rPr>
          <w:rFonts w:ascii="Saira" w:hAnsi="Saira"/>
        </w:rPr>
        <w:t>01</w:t>
      </w:r>
      <w:r w:rsidR="0026620E" w:rsidRPr="004C1D77">
        <w:rPr>
          <w:rFonts w:ascii="Saira" w:hAnsi="Saira"/>
        </w:rPr>
        <w:t>.202</w:t>
      </w:r>
      <w:r w:rsidR="00D33F2A" w:rsidRPr="004C1D77">
        <w:rPr>
          <w:rFonts w:ascii="Saira" w:hAnsi="Saira"/>
        </w:rPr>
        <w:t>6</w:t>
      </w:r>
      <w:r w:rsidR="00DF2A67" w:rsidRPr="004C1D77">
        <w:rPr>
          <w:rFonts w:ascii="Saira" w:hAnsi="Saira"/>
        </w:rPr>
        <w:t xml:space="preserve"> | </w:t>
      </w:r>
      <w:r w:rsidR="004B4C78">
        <w:rPr>
          <w:rFonts w:ascii="Saira" w:hAnsi="Saira"/>
        </w:rPr>
        <w:t>Deggendorf/</w:t>
      </w:r>
      <w:r w:rsidR="003E6935">
        <w:rPr>
          <w:rFonts w:ascii="Saira" w:hAnsi="Saira"/>
        </w:rPr>
        <w:t>Mainburg</w:t>
      </w:r>
    </w:p>
    <w:p w14:paraId="46DAC729" w14:textId="77777777" w:rsidR="00DF2A67" w:rsidRDefault="00DF2A67" w:rsidP="00DF2A67">
      <w:pPr>
        <w:rPr>
          <w:rFonts w:ascii="Saira" w:hAnsi="Saira"/>
        </w:rPr>
      </w:pPr>
    </w:p>
    <w:p w14:paraId="2D061096" w14:textId="185FC95F" w:rsidR="00785AB9" w:rsidRDefault="00BE04EB" w:rsidP="00785AB9">
      <w:pPr>
        <w:rPr>
          <w:rFonts w:ascii="Saira" w:hAnsi="Saira"/>
          <w:b/>
          <w:bCs/>
          <w:sz w:val="28"/>
          <w:szCs w:val="28"/>
        </w:rPr>
      </w:pPr>
      <w:r>
        <w:rPr>
          <w:rFonts w:ascii="Saira" w:hAnsi="Saira"/>
          <w:b/>
          <w:bCs/>
          <w:sz w:val="28"/>
          <w:szCs w:val="28"/>
        </w:rPr>
        <w:t xml:space="preserve">THD eröffnet </w:t>
      </w:r>
      <w:r w:rsidR="004F6D07">
        <w:rPr>
          <w:rFonts w:ascii="Saira" w:hAnsi="Saira"/>
          <w:b/>
          <w:bCs/>
          <w:sz w:val="28"/>
          <w:szCs w:val="28"/>
        </w:rPr>
        <w:t>Forschungscampus</w:t>
      </w:r>
      <w:r>
        <w:rPr>
          <w:rFonts w:ascii="Saira" w:hAnsi="Saira"/>
          <w:b/>
          <w:bCs/>
          <w:sz w:val="28"/>
          <w:szCs w:val="28"/>
        </w:rPr>
        <w:t xml:space="preserve"> in Mainburg</w:t>
      </w:r>
    </w:p>
    <w:p w14:paraId="0E5DAB6A" w14:textId="768FE9BF" w:rsidR="00BE04EB" w:rsidRPr="00BE04EB" w:rsidRDefault="00BE04EB" w:rsidP="00785AB9">
      <w:pPr>
        <w:rPr>
          <w:rFonts w:ascii="Saira" w:hAnsi="Saira"/>
          <w:b/>
          <w:bCs/>
          <w:sz w:val="24"/>
          <w:szCs w:val="24"/>
        </w:rPr>
      </w:pPr>
      <w:r w:rsidRPr="00BE04EB">
        <w:rPr>
          <w:rFonts w:ascii="Saira" w:hAnsi="Saira"/>
          <w:b/>
          <w:bCs/>
          <w:sz w:val="24"/>
          <w:szCs w:val="24"/>
        </w:rPr>
        <w:t>Nachhaltige Gebäudetechnik</w:t>
      </w:r>
      <w:r w:rsidR="00E9534B">
        <w:rPr>
          <w:rFonts w:ascii="Saira" w:hAnsi="Saira"/>
          <w:b/>
          <w:bCs/>
          <w:sz w:val="24"/>
          <w:szCs w:val="24"/>
        </w:rPr>
        <w:t xml:space="preserve"> im Fokus</w:t>
      </w:r>
      <w:r w:rsidRPr="00BE04EB">
        <w:rPr>
          <w:rFonts w:ascii="Saira" w:hAnsi="Saira"/>
          <w:b/>
          <w:bCs/>
          <w:sz w:val="24"/>
          <w:szCs w:val="24"/>
        </w:rPr>
        <w:t xml:space="preserve"> </w:t>
      </w:r>
    </w:p>
    <w:p w14:paraId="43F4776E" w14:textId="77777777" w:rsidR="00E9534B" w:rsidRDefault="00E9534B" w:rsidP="00675EFC">
      <w:pPr>
        <w:rPr>
          <w:rFonts w:ascii="Saira" w:hAnsi="Saira"/>
        </w:rPr>
      </w:pPr>
    </w:p>
    <w:p w14:paraId="022A1FE3" w14:textId="16EC2829" w:rsidR="00E9534B" w:rsidRPr="004F6D07" w:rsidRDefault="00BE04EB" w:rsidP="00E9534B">
      <w:pPr>
        <w:rPr>
          <w:rFonts w:ascii="Saira" w:hAnsi="Saira"/>
        </w:rPr>
      </w:pPr>
      <w:r w:rsidRPr="004F6D07">
        <w:rPr>
          <w:rFonts w:ascii="Saira" w:hAnsi="Saira"/>
        </w:rPr>
        <w:t>Helle Räumlichkeiten</w:t>
      </w:r>
      <w:r w:rsidR="00D23494" w:rsidRPr="004F6D07">
        <w:rPr>
          <w:rFonts w:ascii="Saira" w:hAnsi="Saira"/>
        </w:rPr>
        <w:t xml:space="preserve">, modernste Arbeitsbedingungen und die enge räumliche und thematische Zusammenarbeit mit </w:t>
      </w:r>
      <w:r w:rsidR="00100B6F">
        <w:rPr>
          <w:rFonts w:ascii="Saira" w:hAnsi="Saira"/>
        </w:rPr>
        <w:t xml:space="preserve">der </w:t>
      </w:r>
      <w:r w:rsidR="00D23494" w:rsidRPr="004F6D07">
        <w:rPr>
          <w:rFonts w:ascii="Saira" w:hAnsi="Saira"/>
        </w:rPr>
        <w:t>WOLF</w:t>
      </w:r>
      <w:r w:rsidR="00100B6F">
        <w:rPr>
          <w:rFonts w:ascii="Saira" w:hAnsi="Saira"/>
        </w:rPr>
        <w:t xml:space="preserve"> GmbH,</w:t>
      </w:r>
      <w:r w:rsidR="00E9534B" w:rsidRPr="004F6D07">
        <w:rPr>
          <w:rFonts w:ascii="Saira" w:hAnsi="Saira"/>
        </w:rPr>
        <w:t xml:space="preserve"> weiteren regionalen Partner</w:t>
      </w:r>
      <w:r w:rsidR="006030D5">
        <w:rPr>
          <w:rFonts w:ascii="Saira" w:hAnsi="Saira"/>
        </w:rPr>
        <w:t>n</w:t>
      </w:r>
      <w:r w:rsidR="00100B6F">
        <w:rPr>
          <w:rFonts w:ascii="Saira" w:hAnsi="Saira"/>
        </w:rPr>
        <w:t xml:space="preserve"> sowie</w:t>
      </w:r>
      <w:r w:rsidR="00E9534B" w:rsidRPr="004F6D07">
        <w:rPr>
          <w:rFonts w:ascii="Saira" w:hAnsi="Saira"/>
        </w:rPr>
        <w:t xml:space="preserve"> der Stadt Mainburg</w:t>
      </w:r>
      <w:r w:rsidR="00D23494" w:rsidRPr="004F6D07">
        <w:rPr>
          <w:rFonts w:ascii="Saira" w:hAnsi="Saira"/>
        </w:rPr>
        <w:t xml:space="preserve"> machen d</w:t>
      </w:r>
      <w:r w:rsidR="00100B6F">
        <w:rPr>
          <w:rFonts w:ascii="Saira" w:hAnsi="Saira"/>
        </w:rPr>
        <w:t xml:space="preserve">en neuen Campus </w:t>
      </w:r>
      <w:r w:rsidR="00D23494" w:rsidRPr="004F6D07">
        <w:rPr>
          <w:rFonts w:ascii="Saira" w:hAnsi="Saira"/>
        </w:rPr>
        <w:t>der Technischen Hochschule Deggendorf</w:t>
      </w:r>
      <w:r w:rsidR="003E6935" w:rsidRPr="004F6D07">
        <w:rPr>
          <w:rFonts w:ascii="Saira" w:hAnsi="Saira"/>
        </w:rPr>
        <w:t xml:space="preserve"> (THD)</w:t>
      </w:r>
      <w:r w:rsidR="00D23494" w:rsidRPr="004F6D07">
        <w:rPr>
          <w:rFonts w:ascii="Saira" w:hAnsi="Saira"/>
        </w:rPr>
        <w:t xml:space="preserve"> in Mainburg aus. </w:t>
      </w:r>
      <w:r w:rsidR="003E6935" w:rsidRPr="004F6D07">
        <w:rPr>
          <w:rFonts w:ascii="Saira" w:hAnsi="Saira"/>
        </w:rPr>
        <w:t>Offiziell eröffnet wurde der Forschungs</w:t>
      </w:r>
      <w:r w:rsidR="004F6D07" w:rsidRPr="004F6D07">
        <w:rPr>
          <w:rFonts w:ascii="Saira" w:hAnsi="Saira"/>
        </w:rPr>
        <w:t>campus</w:t>
      </w:r>
      <w:r w:rsidR="003E6935" w:rsidRPr="004F6D07">
        <w:rPr>
          <w:rFonts w:ascii="Saira" w:hAnsi="Saira"/>
        </w:rPr>
        <w:t xml:space="preserve"> am 29. Januar, gemeinsam mit dem WOLF CAMPUS im selben Gebäude. </w:t>
      </w:r>
    </w:p>
    <w:p w14:paraId="1B2DCC97" w14:textId="77777777" w:rsidR="004F6D07" w:rsidRDefault="004F6D07" w:rsidP="00873855">
      <w:pPr>
        <w:rPr>
          <w:rFonts w:ascii="Saira" w:hAnsi="Saira"/>
          <w:bCs/>
        </w:rPr>
      </w:pPr>
    </w:p>
    <w:p w14:paraId="2D17E4A1" w14:textId="5CD0F3B1" w:rsidR="00873855" w:rsidRPr="00873855" w:rsidRDefault="00100B6F" w:rsidP="00873855">
      <w:pPr>
        <w:rPr>
          <w:rFonts w:ascii="Saira" w:hAnsi="Saira"/>
        </w:rPr>
      </w:pPr>
      <w:r>
        <w:rPr>
          <w:rFonts w:ascii="Saira" w:hAnsi="Saira"/>
          <w:bCs/>
        </w:rPr>
        <w:t xml:space="preserve">Der </w:t>
      </w:r>
      <w:r w:rsidR="00E9534B" w:rsidRPr="004F6D07">
        <w:rPr>
          <w:rFonts w:ascii="Saira" w:hAnsi="Saira"/>
          <w:bCs/>
        </w:rPr>
        <w:t>Leiter der Bayerischen Staatskanzlei und Staatsminister für Bundesangelegenheiten</w:t>
      </w:r>
      <w:r>
        <w:rPr>
          <w:rFonts w:ascii="Saira" w:hAnsi="Saira"/>
          <w:bCs/>
        </w:rPr>
        <w:t xml:space="preserve"> </w:t>
      </w:r>
      <w:r w:rsidR="00EE5CE3">
        <w:rPr>
          <w:rFonts w:ascii="Saira" w:hAnsi="Saira"/>
          <w:bCs/>
        </w:rPr>
        <w:t xml:space="preserve">und Medien </w:t>
      </w:r>
      <w:r w:rsidRPr="004F6D07">
        <w:rPr>
          <w:rFonts w:ascii="Saira" w:hAnsi="Saira"/>
          <w:bCs/>
        </w:rPr>
        <w:t>Dr. Florian Herrmann</w:t>
      </w:r>
      <w:r w:rsidR="00EE5CE3">
        <w:rPr>
          <w:rFonts w:ascii="Saira" w:hAnsi="Saira"/>
          <w:bCs/>
        </w:rPr>
        <w:t xml:space="preserve"> MdL</w:t>
      </w:r>
      <w:r w:rsidR="00E9534B" w:rsidRPr="004F6D07">
        <w:rPr>
          <w:rFonts w:ascii="Saira" w:hAnsi="Saira"/>
          <w:bCs/>
        </w:rPr>
        <w:t xml:space="preserve">, </w:t>
      </w:r>
      <w:r>
        <w:rPr>
          <w:rFonts w:ascii="Saira" w:hAnsi="Saira"/>
          <w:bCs/>
        </w:rPr>
        <w:t xml:space="preserve">der </w:t>
      </w:r>
      <w:r w:rsidR="00E9534B" w:rsidRPr="004F6D07">
        <w:rPr>
          <w:rFonts w:ascii="Saira" w:hAnsi="Saira"/>
          <w:bCs/>
        </w:rPr>
        <w:t xml:space="preserve">Präsident der </w:t>
      </w:r>
      <w:r>
        <w:rPr>
          <w:rFonts w:ascii="Saira" w:hAnsi="Saira"/>
          <w:bCs/>
        </w:rPr>
        <w:t xml:space="preserve">TH Deggendorf </w:t>
      </w:r>
      <w:r w:rsidRPr="004F6D07">
        <w:rPr>
          <w:rFonts w:ascii="Saira" w:hAnsi="Saira"/>
          <w:bCs/>
        </w:rPr>
        <w:t>Prof. Waldemar Berg</w:t>
      </w:r>
      <w:r w:rsidR="00E9534B" w:rsidRPr="004F6D07">
        <w:rPr>
          <w:rFonts w:ascii="Saira" w:hAnsi="Saira"/>
          <w:bCs/>
        </w:rPr>
        <w:t xml:space="preserve">, </w:t>
      </w:r>
      <w:r>
        <w:rPr>
          <w:rFonts w:ascii="Saira" w:hAnsi="Saira"/>
          <w:bCs/>
        </w:rPr>
        <w:t xml:space="preserve">der </w:t>
      </w:r>
      <w:r w:rsidR="00E9534B" w:rsidRPr="004F6D07">
        <w:rPr>
          <w:rFonts w:ascii="Saira" w:hAnsi="Saira"/>
          <w:bCs/>
        </w:rPr>
        <w:t xml:space="preserve">Vorsitzende der </w:t>
      </w:r>
      <w:r w:rsidRPr="004F6D07">
        <w:rPr>
          <w:rFonts w:ascii="Saira" w:hAnsi="Saira"/>
          <w:bCs/>
        </w:rPr>
        <w:t>WOLF-Geschäftsführung Philip Krossa</w:t>
      </w:r>
      <w:r w:rsidR="00E9534B" w:rsidRPr="004F6D07">
        <w:rPr>
          <w:rFonts w:ascii="Saira" w:hAnsi="Saira"/>
          <w:bCs/>
        </w:rPr>
        <w:t>, Executive Chairman der Ariston Group</w:t>
      </w:r>
      <w:r>
        <w:rPr>
          <w:rFonts w:ascii="Saira" w:hAnsi="Saira"/>
          <w:bCs/>
        </w:rPr>
        <w:t xml:space="preserve"> </w:t>
      </w:r>
      <w:r w:rsidRPr="004F6D07">
        <w:rPr>
          <w:rFonts w:ascii="Saira" w:hAnsi="Saira"/>
          <w:bCs/>
        </w:rPr>
        <w:t>Paolo Merloni,</w:t>
      </w:r>
      <w:r w:rsidR="00E9534B" w:rsidRPr="004F6D07">
        <w:rPr>
          <w:rFonts w:ascii="Saira" w:hAnsi="Saira"/>
          <w:bCs/>
        </w:rPr>
        <w:t xml:space="preserve"> zahlreiche</w:t>
      </w:r>
      <w:r w:rsidR="00E9534B" w:rsidRPr="004F6D07">
        <w:rPr>
          <w:rFonts w:ascii="Saira" w:hAnsi="Saira"/>
        </w:rPr>
        <w:t xml:space="preserve"> Vertreterinnen und Vertreter der Hochschule und der WOLF GmbH </w:t>
      </w:r>
      <w:r w:rsidR="003E6935" w:rsidRPr="004F6D07">
        <w:rPr>
          <w:rFonts w:ascii="Saira" w:hAnsi="Saira"/>
        </w:rPr>
        <w:t xml:space="preserve">sowie </w:t>
      </w:r>
      <w:r w:rsidR="001D2601" w:rsidRPr="004F6D07">
        <w:rPr>
          <w:rFonts w:ascii="Saira" w:hAnsi="Saira"/>
        </w:rPr>
        <w:t>Akteure aus der lokalen und regionalen Politik</w:t>
      </w:r>
      <w:r w:rsidR="003E6935" w:rsidRPr="004F6D07">
        <w:rPr>
          <w:rFonts w:ascii="Saira" w:hAnsi="Saira"/>
        </w:rPr>
        <w:t xml:space="preserve"> </w:t>
      </w:r>
      <w:r w:rsidR="003F29F1">
        <w:rPr>
          <w:rFonts w:ascii="Saira" w:hAnsi="Saira"/>
        </w:rPr>
        <w:t xml:space="preserve">waren </w:t>
      </w:r>
      <w:r w:rsidR="006030D5">
        <w:rPr>
          <w:rFonts w:ascii="Saira" w:hAnsi="Saira"/>
        </w:rPr>
        <w:t>beim</w:t>
      </w:r>
      <w:r w:rsidR="003F29F1">
        <w:rPr>
          <w:rFonts w:ascii="Saira" w:hAnsi="Saira"/>
        </w:rPr>
        <w:t xml:space="preserve"> </w:t>
      </w:r>
      <w:r w:rsidR="003E6935" w:rsidRPr="004F6D07">
        <w:rPr>
          <w:rFonts w:ascii="Saira" w:hAnsi="Saira"/>
        </w:rPr>
        <w:t>feierlichen Beginn dieser einzigartigen Kooperation aus Forschung und Wirtschaft</w:t>
      </w:r>
      <w:r w:rsidR="003F29F1">
        <w:rPr>
          <w:rFonts w:ascii="Saira" w:hAnsi="Saira"/>
        </w:rPr>
        <w:t xml:space="preserve"> </w:t>
      </w:r>
      <w:r w:rsidR="006030D5">
        <w:rPr>
          <w:rFonts w:ascii="Saira" w:hAnsi="Saira"/>
        </w:rPr>
        <w:t xml:space="preserve">mit </w:t>
      </w:r>
      <w:r w:rsidR="003F29F1">
        <w:rPr>
          <w:rFonts w:ascii="Saira" w:hAnsi="Saira"/>
        </w:rPr>
        <w:t>dabei</w:t>
      </w:r>
      <w:r w:rsidR="003E6935" w:rsidRPr="004F6D07">
        <w:rPr>
          <w:rFonts w:ascii="Saira" w:hAnsi="Saira"/>
        </w:rPr>
        <w:t xml:space="preserve">. </w:t>
      </w:r>
      <w:r w:rsidR="006030D5">
        <w:rPr>
          <w:rFonts w:ascii="Saira" w:hAnsi="Saira"/>
        </w:rPr>
        <w:t xml:space="preserve">Der </w:t>
      </w:r>
      <w:r w:rsidR="00873855" w:rsidRPr="004F6D07">
        <w:rPr>
          <w:rFonts w:ascii="Saira" w:hAnsi="Saira"/>
        </w:rPr>
        <w:t>Staatsminister</w:t>
      </w:r>
      <w:r w:rsidRPr="004F6D07">
        <w:rPr>
          <w:rFonts w:ascii="Saira" w:hAnsi="Saira"/>
        </w:rPr>
        <w:t xml:space="preserve"> </w:t>
      </w:r>
      <w:r>
        <w:rPr>
          <w:rFonts w:ascii="Saira" w:hAnsi="Saira"/>
        </w:rPr>
        <w:t>hob</w:t>
      </w:r>
      <w:r w:rsidR="004F6D07">
        <w:rPr>
          <w:rFonts w:ascii="Saira" w:hAnsi="Saira"/>
        </w:rPr>
        <w:t xml:space="preserve"> </w:t>
      </w:r>
      <w:r w:rsidR="006030D5">
        <w:rPr>
          <w:rFonts w:ascii="Saira" w:hAnsi="Saira"/>
        </w:rPr>
        <w:t xml:space="preserve">in seiner Laudatio </w:t>
      </w:r>
      <w:r w:rsidR="004F6D07">
        <w:rPr>
          <w:rFonts w:ascii="Saira" w:hAnsi="Saira"/>
        </w:rPr>
        <w:t>hervor:</w:t>
      </w:r>
      <w:r w:rsidR="00873855" w:rsidRPr="004F6D07">
        <w:rPr>
          <w:rFonts w:ascii="Saira" w:hAnsi="Saira"/>
        </w:rPr>
        <w:t xml:space="preserve"> </w:t>
      </w:r>
      <w:r w:rsidR="00873855" w:rsidRPr="00873855">
        <w:rPr>
          <w:rFonts w:ascii="Saira" w:hAnsi="Saira"/>
        </w:rPr>
        <w:t xml:space="preserve">„Das </w:t>
      </w:r>
      <w:r w:rsidR="006030D5">
        <w:rPr>
          <w:rFonts w:ascii="Saira" w:hAnsi="Saira"/>
        </w:rPr>
        <w:t>TTZ</w:t>
      </w:r>
      <w:r w:rsidR="00873855" w:rsidRPr="00873855">
        <w:rPr>
          <w:rFonts w:ascii="Saira" w:hAnsi="Saira"/>
        </w:rPr>
        <w:t xml:space="preserve"> Mainburg der TH Deggendorf zeigt, was Bayern stark macht: angewandte Forschung trifft auf einen hochinnovativen Mittelstand. Gemeinsam mit dem WOLF </w:t>
      </w:r>
      <w:r w:rsidR="00EE5CE3">
        <w:rPr>
          <w:rFonts w:ascii="Saira" w:hAnsi="Saira"/>
        </w:rPr>
        <w:t xml:space="preserve">CAMPUS </w:t>
      </w:r>
      <w:r w:rsidR="00873855" w:rsidRPr="00873855">
        <w:rPr>
          <w:rFonts w:ascii="Saira" w:hAnsi="Saira"/>
        </w:rPr>
        <w:t>entsteht ein Zentrum des Technologietransfers – praxisnah, regional verwurzelt und mit Strahlkraft weit über Mainburg hinaus.</w:t>
      </w:r>
      <w:r>
        <w:rPr>
          <w:rFonts w:ascii="Saira" w:hAnsi="Saira"/>
        </w:rPr>
        <w:t xml:space="preserve">“ Weiter </w:t>
      </w:r>
      <w:r w:rsidR="006030D5">
        <w:rPr>
          <w:rFonts w:ascii="Saira" w:hAnsi="Saira"/>
        </w:rPr>
        <w:t>betonte</w:t>
      </w:r>
      <w:r>
        <w:rPr>
          <w:rFonts w:ascii="Saira" w:hAnsi="Saira"/>
        </w:rPr>
        <w:t xml:space="preserve"> </w:t>
      </w:r>
      <w:r w:rsidR="006030D5">
        <w:rPr>
          <w:rFonts w:ascii="Saira" w:hAnsi="Saira"/>
        </w:rPr>
        <w:t>Herrmann</w:t>
      </w:r>
      <w:r>
        <w:rPr>
          <w:rFonts w:ascii="Saira" w:hAnsi="Saira"/>
        </w:rPr>
        <w:t>, dass d</w:t>
      </w:r>
      <w:r w:rsidR="00873855" w:rsidRPr="00873855">
        <w:rPr>
          <w:rFonts w:ascii="Saira" w:hAnsi="Saira"/>
        </w:rPr>
        <w:t xml:space="preserve">er Freistaat </w:t>
      </w:r>
      <w:r>
        <w:rPr>
          <w:rFonts w:ascii="Saira" w:hAnsi="Saira"/>
        </w:rPr>
        <w:t xml:space="preserve">den neuen Campus </w:t>
      </w:r>
      <w:r w:rsidR="00873855" w:rsidRPr="00873855">
        <w:rPr>
          <w:rFonts w:ascii="Saira" w:hAnsi="Saira"/>
        </w:rPr>
        <w:t>aus seiner Initiative ‚Hightech Transfer Bayern‘ mit einer Anschubfinanzierung von über 7,1 Millionen Euro</w:t>
      </w:r>
      <w:r>
        <w:rPr>
          <w:rFonts w:ascii="Saira" w:hAnsi="Saira"/>
        </w:rPr>
        <w:t xml:space="preserve"> unterstütze</w:t>
      </w:r>
      <w:r w:rsidR="00873855" w:rsidRPr="00873855">
        <w:rPr>
          <w:rFonts w:ascii="Saira" w:hAnsi="Saira"/>
        </w:rPr>
        <w:t xml:space="preserve">. </w:t>
      </w:r>
    </w:p>
    <w:p w14:paraId="0D2FAA1E" w14:textId="77777777" w:rsidR="00680CF2" w:rsidRDefault="00680CF2" w:rsidP="00BE04EB">
      <w:pPr>
        <w:rPr>
          <w:rFonts w:ascii="Saira" w:hAnsi="Saira"/>
        </w:rPr>
      </w:pPr>
    </w:p>
    <w:p w14:paraId="074B0CE2" w14:textId="1F5C8159" w:rsidR="00BE04EB" w:rsidRPr="00BE04EB" w:rsidRDefault="003E6935" w:rsidP="00BE04EB">
      <w:pPr>
        <w:rPr>
          <w:rFonts w:ascii="Saira" w:hAnsi="Saira"/>
        </w:rPr>
      </w:pPr>
      <w:bookmarkStart w:id="0" w:name="_Hlk220500617"/>
      <w:r>
        <w:rPr>
          <w:rFonts w:ascii="Saira" w:hAnsi="Saira"/>
        </w:rPr>
        <w:t xml:space="preserve">Der neue </w:t>
      </w:r>
      <w:r w:rsidR="006030D5">
        <w:rPr>
          <w:rFonts w:ascii="Saira" w:hAnsi="Saira"/>
        </w:rPr>
        <w:t>THD-</w:t>
      </w:r>
      <w:r>
        <w:rPr>
          <w:rFonts w:ascii="Saira" w:hAnsi="Saira"/>
        </w:rPr>
        <w:t xml:space="preserve">Campus Mainburg </w:t>
      </w:r>
      <w:r w:rsidR="00D538D7">
        <w:rPr>
          <w:rFonts w:ascii="Saira" w:hAnsi="Saira"/>
        </w:rPr>
        <w:t xml:space="preserve">mit dem Schwerpunkt nachhaltige Gebäudetechnik </w:t>
      </w:r>
      <w:r>
        <w:rPr>
          <w:rFonts w:ascii="Saira" w:hAnsi="Saira"/>
        </w:rPr>
        <w:t>forscht</w:t>
      </w:r>
      <w:r w:rsidR="00680CF2">
        <w:rPr>
          <w:rFonts w:ascii="Saira" w:hAnsi="Saira"/>
        </w:rPr>
        <w:t xml:space="preserve"> auf rund 1.000 Quadratmetern</w:t>
      </w:r>
      <w:r w:rsidR="005544E7">
        <w:rPr>
          <w:rFonts w:ascii="Saira" w:hAnsi="Saira"/>
        </w:rPr>
        <w:t xml:space="preserve">. </w:t>
      </w:r>
      <w:r w:rsidR="005544E7" w:rsidRPr="00BE04EB">
        <w:rPr>
          <w:rFonts w:ascii="Saira" w:hAnsi="Saira"/>
        </w:rPr>
        <w:t>„Gemeinsam wollen wir ein Fundament für die Zukunft des Bauens, des Wohnens und des Lebens in einer nachhaltigen Umgebung legen“</w:t>
      </w:r>
      <w:r w:rsidR="003F29F1">
        <w:rPr>
          <w:rFonts w:ascii="Saira" w:hAnsi="Saira"/>
        </w:rPr>
        <w:t>,</w:t>
      </w:r>
      <w:r w:rsidR="005544E7" w:rsidRPr="00E9534B">
        <w:rPr>
          <w:rFonts w:ascii="Saira" w:hAnsi="Saira"/>
        </w:rPr>
        <w:t xml:space="preserve"> </w:t>
      </w:r>
      <w:r w:rsidR="005544E7" w:rsidRPr="00BE04EB">
        <w:rPr>
          <w:rFonts w:ascii="Saira" w:hAnsi="Saira"/>
        </w:rPr>
        <w:t xml:space="preserve">erklärte </w:t>
      </w:r>
      <w:r w:rsidR="006030D5">
        <w:rPr>
          <w:rFonts w:ascii="Saira" w:hAnsi="Saira"/>
        </w:rPr>
        <w:t>THD-</w:t>
      </w:r>
      <w:r w:rsidR="005544E7" w:rsidRPr="00BE04EB">
        <w:rPr>
          <w:rFonts w:ascii="Saira" w:hAnsi="Saira"/>
        </w:rPr>
        <w:t xml:space="preserve">Präsident </w:t>
      </w:r>
      <w:r w:rsidR="006030D5">
        <w:rPr>
          <w:rFonts w:ascii="Saira" w:hAnsi="Saira"/>
        </w:rPr>
        <w:t>Berg</w:t>
      </w:r>
      <w:r w:rsidR="005544E7" w:rsidRPr="00BE04EB">
        <w:rPr>
          <w:rFonts w:ascii="Saira" w:hAnsi="Saira"/>
        </w:rPr>
        <w:t>.</w:t>
      </w:r>
      <w:bookmarkEnd w:id="0"/>
      <w:r w:rsidR="004F6D07">
        <w:rPr>
          <w:rFonts w:ascii="Saira" w:hAnsi="Saira"/>
        </w:rPr>
        <w:t xml:space="preserve"> </w:t>
      </w:r>
      <w:r w:rsidR="005544E7">
        <w:rPr>
          <w:rFonts w:ascii="Saira" w:hAnsi="Saira"/>
        </w:rPr>
        <w:t xml:space="preserve">So wird an </w:t>
      </w:r>
      <w:r>
        <w:rPr>
          <w:rFonts w:ascii="Saira" w:hAnsi="Saira"/>
        </w:rPr>
        <w:t>vier zentralen Themengebieten</w:t>
      </w:r>
      <w:r w:rsidR="005544E7">
        <w:rPr>
          <w:rFonts w:ascii="Saira" w:hAnsi="Saira"/>
        </w:rPr>
        <w:t xml:space="preserve"> </w:t>
      </w:r>
      <w:r w:rsidR="005544E7">
        <w:rPr>
          <w:rFonts w:ascii="Saira" w:hAnsi="Saira"/>
        </w:rPr>
        <w:lastRenderedPageBreak/>
        <w:t>geforscht</w:t>
      </w:r>
      <w:r>
        <w:rPr>
          <w:rFonts w:ascii="Saira" w:hAnsi="Saira"/>
        </w:rPr>
        <w:t xml:space="preserve">: dem </w:t>
      </w:r>
      <w:r w:rsidRPr="00BE04EB">
        <w:rPr>
          <w:rFonts w:ascii="Saira" w:hAnsi="Saira"/>
        </w:rPr>
        <w:t>nachhaltige</w:t>
      </w:r>
      <w:r>
        <w:rPr>
          <w:rFonts w:ascii="Saira" w:hAnsi="Saira"/>
        </w:rPr>
        <w:t>n Bauen</w:t>
      </w:r>
      <w:r w:rsidR="00BE04EB" w:rsidRPr="00BE04EB">
        <w:rPr>
          <w:rFonts w:ascii="Saira" w:hAnsi="Saira"/>
        </w:rPr>
        <w:t xml:space="preserve"> und Betreiben von Gebäuden, der Digitalisierung in der Gebäudetechnik, dem Einsatz von Big Data und Künstlicher Intelligenz sowie der Wärmeerzeugung, Lüftungs- und Strömungstechnik. </w:t>
      </w:r>
      <w:r>
        <w:rPr>
          <w:rFonts w:ascii="Saira" w:hAnsi="Saira"/>
        </w:rPr>
        <w:t xml:space="preserve">Oberstes </w:t>
      </w:r>
      <w:r w:rsidR="00BE04EB" w:rsidRPr="00BE04EB">
        <w:rPr>
          <w:rFonts w:ascii="Saira" w:hAnsi="Saira"/>
        </w:rPr>
        <w:t xml:space="preserve">Ziel </w:t>
      </w:r>
      <w:r>
        <w:rPr>
          <w:rFonts w:ascii="Saira" w:hAnsi="Saira"/>
        </w:rPr>
        <w:t xml:space="preserve">des neuen THD-Campus </w:t>
      </w:r>
      <w:r w:rsidR="00BE04EB" w:rsidRPr="00BE04EB">
        <w:rPr>
          <w:rFonts w:ascii="Saira" w:hAnsi="Saira"/>
        </w:rPr>
        <w:t>ist es</w:t>
      </w:r>
      <w:r w:rsidR="003F29F1">
        <w:rPr>
          <w:rFonts w:ascii="Saira" w:hAnsi="Saira"/>
        </w:rPr>
        <w:t>,</w:t>
      </w:r>
      <w:r w:rsidR="00680CF2">
        <w:rPr>
          <w:rFonts w:ascii="Saira" w:hAnsi="Saira"/>
        </w:rPr>
        <w:t xml:space="preserve"> </w:t>
      </w:r>
      <w:r w:rsidR="00BE04EB" w:rsidRPr="00BE04EB">
        <w:rPr>
          <w:rFonts w:ascii="Saira" w:hAnsi="Saira"/>
        </w:rPr>
        <w:t>praxisnahe Lösungen für die Gebäudetechnik von morgen zu entwickeln.</w:t>
      </w:r>
    </w:p>
    <w:p w14:paraId="2D2379C4" w14:textId="77777777" w:rsidR="00223B1D" w:rsidRDefault="00223B1D" w:rsidP="001102B0">
      <w:pPr>
        <w:rPr>
          <w:rFonts w:ascii="Saira" w:hAnsi="Saira"/>
        </w:rPr>
      </w:pPr>
    </w:p>
    <w:p w14:paraId="4F0DD3D1" w14:textId="4620549C" w:rsidR="00E9534B" w:rsidRPr="005544E7" w:rsidRDefault="005544E7" w:rsidP="00E9534B">
      <w:pPr>
        <w:rPr>
          <w:rFonts w:ascii="Saira" w:hAnsi="Saira"/>
        </w:rPr>
      </w:pPr>
      <w:r w:rsidRPr="005544E7">
        <w:rPr>
          <w:rFonts w:ascii="Saira" w:hAnsi="Saira"/>
        </w:rPr>
        <w:t xml:space="preserve">Zwischen </w:t>
      </w:r>
      <w:r w:rsidR="00477044">
        <w:rPr>
          <w:rFonts w:ascii="Saira" w:hAnsi="Saira"/>
        </w:rPr>
        <w:t xml:space="preserve">der </w:t>
      </w:r>
      <w:r w:rsidRPr="005544E7">
        <w:rPr>
          <w:rFonts w:ascii="Saira" w:hAnsi="Saira"/>
        </w:rPr>
        <w:t xml:space="preserve">Stadt </w:t>
      </w:r>
      <w:r w:rsidR="00477044">
        <w:rPr>
          <w:rFonts w:ascii="Saira" w:hAnsi="Saira"/>
        </w:rPr>
        <w:t xml:space="preserve">Mainburg </w:t>
      </w:r>
      <w:r w:rsidRPr="005544E7">
        <w:rPr>
          <w:rFonts w:ascii="Saira" w:hAnsi="Saira"/>
        </w:rPr>
        <w:t>und</w:t>
      </w:r>
      <w:r w:rsidR="00477044">
        <w:rPr>
          <w:rFonts w:ascii="Saira" w:hAnsi="Saira"/>
        </w:rPr>
        <w:t xml:space="preserve"> der</w:t>
      </w:r>
      <w:r w:rsidRPr="005544E7">
        <w:rPr>
          <w:rFonts w:ascii="Saira" w:hAnsi="Saira"/>
        </w:rPr>
        <w:t xml:space="preserve"> THD hat sich in den vergangenen Monaten eine enge, vertrauensvolle Zusammenarbeit entwickelt. Beide Seiten </w:t>
      </w:r>
      <w:r w:rsidR="00477044">
        <w:rPr>
          <w:rFonts w:ascii="Saira" w:hAnsi="Saira"/>
        </w:rPr>
        <w:t>unterstreichen</w:t>
      </w:r>
      <w:r w:rsidRPr="005544E7">
        <w:rPr>
          <w:rFonts w:ascii="Saira" w:hAnsi="Saira"/>
        </w:rPr>
        <w:t xml:space="preserve">, wie wichtig dieser neue Standort für die Region ist – und wie viel gemeinsames Engagement in seiner Realisierung steckt. So </w:t>
      </w:r>
      <w:r w:rsidR="004A66D7">
        <w:rPr>
          <w:rFonts w:ascii="Saira" w:hAnsi="Saira"/>
        </w:rPr>
        <w:t>stellt</w:t>
      </w:r>
      <w:r w:rsidRPr="005544E7">
        <w:rPr>
          <w:rFonts w:ascii="Saira" w:hAnsi="Saira"/>
        </w:rPr>
        <w:t xml:space="preserve"> die operative Leiterin des THD Campus</w:t>
      </w:r>
      <w:r w:rsidR="003F29F1">
        <w:rPr>
          <w:rFonts w:ascii="Saira" w:hAnsi="Saira"/>
        </w:rPr>
        <w:t>,</w:t>
      </w:r>
      <w:r w:rsidRPr="005544E7">
        <w:rPr>
          <w:rFonts w:ascii="Saira" w:hAnsi="Saira"/>
        </w:rPr>
        <w:t xml:space="preserve"> Doris Zellner</w:t>
      </w:r>
      <w:r w:rsidR="003F29F1">
        <w:rPr>
          <w:rFonts w:ascii="Saira" w:hAnsi="Saira"/>
        </w:rPr>
        <w:t>,</w:t>
      </w:r>
      <w:r w:rsidRPr="005544E7">
        <w:rPr>
          <w:rFonts w:ascii="Saira" w:hAnsi="Saira"/>
        </w:rPr>
        <w:t xml:space="preserve"> </w:t>
      </w:r>
      <w:r w:rsidR="004A66D7">
        <w:rPr>
          <w:rFonts w:ascii="Saira" w:hAnsi="Saira"/>
        </w:rPr>
        <w:t xml:space="preserve">fest: </w:t>
      </w:r>
      <w:r w:rsidRPr="00E9534B">
        <w:rPr>
          <w:rFonts w:ascii="Saira" w:hAnsi="Saira"/>
        </w:rPr>
        <w:t xml:space="preserve">„Mit der Eröffnung des Campus schaffen wir einen Ort, an dem Forschung, Praxis und Talententwicklung unmittelbar zusammenfinden. Unser Team hat in den vergangenen Monaten mit enormem Engagement daran gearbeitet, diesen Standort aufzubauen. Wir freuen uns darauf, gemeinsam mit der Stadt, unseren Partnern und </w:t>
      </w:r>
      <w:r w:rsidRPr="005544E7">
        <w:rPr>
          <w:rFonts w:ascii="Saira" w:hAnsi="Saira"/>
        </w:rPr>
        <w:t>unseren Beschäftigten</w:t>
      </w:r>
      <w:r w:rsidRPr="00E9534B">
        <w:rPr>
          <w:rFonts w:ascii="Saira" w:hAnsi="Saira"/>
        </w:rPr>
        <w:t xml:space="preserve"> eine lebendige, inspirierende Campus-Kultur zu gestalten.“</w:t>
      </w:r>
      <w:r w:rsidRPr="005544E7">
        <w:rPr>
          <w:rFonts w:ascii="Saira" w:hAnsi="Saira"/>
        </w:rPr>
        <w:t xml:space="preserve"> </w:t>
      </w:r>
      <w:r>
        <w:rPr>
          <w:rFonts w:ascii="Saira" w:hAnsi="Saira"/>
        </w:rPr>
        <w:t xml:space="preserve">Auch Bürgermeister </w:t>
      </w:r>
      <w:r w:rsidRPr="005544E7">
        <w:rPr>
          <w:rFonts w:ascii="Saira" w:hAnsi="Saira"/>
        </w:rPr>
        <w:t>Helmut Fichtner</w:t>
      </w:r>
      <w:r>
        <w:rPr>
          <w:rFonts w:ascii="Saira" w:hAnsi="Saira"/>
        </w:rPr>
        <w:t xml:space="preserve"> ist stolz auf den Campus: </w:t>
      </w:r>
      <w:r w:rsidR="00E9534B" w:rsidRPr="00E9534B">
        <w:rPr>
          <w:rFonts w:ascii="Saira" w:hAnsi="Saira"/>
        </w:rPr>
        <w:t>„Die Ansiedlung dieses Campus ist ein starkes Signal für die Zukunft unserer Stadt. Wir haben diese Entwicklung mit voller Überzeugung unterstützt – organisatorisch und auch finanziell. Der neue Standort wird Innovation, Arbeitsplätze und Perspektiven schaffen. Ich bin stolz darauf, dass wir diesen Weg gemeinsam gegangen sind und heute den Grundstein für ein neues Kapitel legen</w:t>
      </w:r>
      <w:r>
        <w:rPr>
          <w:rFonts w:ascii="Saira" w:hAnsi="Saira"/>
        </w:rPr>
        <w:t>.</w:t>
      </w:r>
      <w:r w:rsidR="00E9534B" w:rsidRPr="005544E7">
        <w:rPr>
          <w:rFonts w:ascii="Saira" w:hAnsi="Saira"/>
        </w:rPr>
        <w:t>“</w:t>
      </w:r>
    </w:p>
    <w:p w14:paraId="5B4E6509" w14:textId="77777777" w:rsidR="00675A84" w:rsidRDefault="00675A84" w:rsidP="002909AA">
      <w:pPr>
        <w:rPr>
          <w:rFonts w:ascii="Saira" w:hAnsi="Saira"/>
          <w:iCs/>
          <w:noProof/>
          <w:sz w:val="18"/>
          <w:szCs w:val="18"/>
        </w:rPr>
      </w:pPr>
    </w:p>
    <w:p w14:paraId="2E823FF9" w14:textId="707EE483" w:rsidR="00D93CCE" w:rsidRDefault="00D12424" w:rsidP="00083A74">
      <w:pPr>
        <w:rPr>
          <w:rFonts w:ascii="Saira" w:hAnsi="Saira"/>
          <w:sz w:val="18"/>
          <w:szCs w:val="18"/>
        </w:rPr>
      </w:pPr>
      <w:r w:rsidRPr="00CF28C6">
        <w:rPr>
          <w:rFonts w:ascii="Saira" w:hAnsi="Saira"/>
          <w:b/>
          <w:bCs/>
          <w:sz w:val="18"/>
          <w:szCs w:val="18"/>
        </w:rPr>
        <w:t>Bild</w:t>
      </w:r>
      <w:r w:rsidR="00852195">
        <w:rPr>
          <w:rFonts w:ascii="Saira" w:hAnsi="Saira"/>
          <w:b/>
          <w:bCs/>
          <w:sz w:val="18"/>
          <w:szCs w:val="18"/>
        </w:rPr>
        <w:t xml:space="preserve"> (THD)</w:t>
      </w:r>
      <w:r w:rsidR="002D62D1">
        <w:rPr>
          <w:rFonts w:ascii="Saira" w:hAnsi="Saira"/>
          <w:b/>
          <w:bCs/>
          <w:sz w:val="18"/>
          <w:szCs w:val="18"/>
        </w:rPr>
        <w:t xml:space="preserve">: </w:t>
      </w:r>
      <w:r w:rsidR="00477044">
        <w:rPr>
          <w:rFonts w:ascii="Saira" w:hAnsi="Saira"/>
          <w:sz w:val="18"/>
          <w:szCs w:val="18"/>
        </w:rPr>
        <w:t>Viel Beifall für THD-</w:t>
      </w:r>
      <w:r w:rsidR="00E72FB6" w:rsidRPr="00E72FB6">
        <w:rPr>
          <w:rFonts w:ascii="Saira" w:hAnsi="Saira"/>
          <w:sz w:val="18"/>
          <w:szCs w:val="18"/>
        </w:rPr>
        <w:t xml:space="preserve">Präsident </w:t>
      </w:r>
      <w:r w:rsidR="00E72FB6">
        <w:rPr>
          <w:rFonts w:ascii="Saira" w:hAnsi="Saira"/>
          <w:sz w:val="18"/>
          <w:szCs w:val="18"/>
        </w:rPr>
        <w:t>Prof. Waldemar Berg</w:t>
      </w:r>
      <w:r w:rsidR="00E72FB6" w:rsidRPr="00E72FB6">
        <w:rPr>
          <w:rFonts w:ascii="Saira" w:hAnsi="Saira"/>
          <w:sz w:val="18"/>
          <w:szCs w:val="18"/>
        </w:rPr>
        <w:t xml:space="preserve"> bei der gemeinsamen feierlichen Eröffnung des Campus Mainburg und des WOLF CAMPUS</w:t>
      </w:r>
      <w:r w:rsidR="00477044">
        <w:rPr>
          <w:rFonts w:ascii="Saira" w:hAnsi="Saira"/>
          <w:sz w:val="18"/>
          <w:szCs w:val="18"/>
        </w:rPr>
        <w:t>.</w:t>
      </w:r>
    </w:p>
    <w:p w14:paraId="62A11DF2" w14:textId="77777777" w:rsidR="00785AB9" w:rsidRDefault="00785AB9" w:rsidP="00083A74">
      <w:pPr>
        <w:rPr>
          <w:rFonts w:ascii="Saira" w:hAnsi="Saira"/>
          <w:sz w:val="18"/>
          <w:szCs w:val="18"/>
        </w:rPr>
      </w:pPr>
    </w:p>
    <w:p w14:paraId="43EA2CE3" w14:textId="494B0E64" w:rsidR="00083A74" w:rsidRPr="008E6EB0" w:rsidRDefault="00083A74" w:rsidP="00083A74">
      <w:pPr>
        <w:rPr>
          <w:rFonts w:ascii="Saira" w:hAnsi="Saira"/>
          <w:sz w:val="18"/>
          <w:szCs w:val="18"/>
        </w:rPr>
      </w:pPr>
      <w:r w:rsidRPr="008E6EB0">
        <w:rPr>
          <w:rFonts w:ascii="Saira" w:hAnsi="Saira"/>
          <w:sz w:val="18"/>
          <w:szCs w:val="18"/>
        </w:rPr>
        <w:t>Das Bild</w:t>
      </w:r>
      <w:r w:rsidR="00D538D7">
        <w:rPr>
          <w:rFonts w:ascii="Saira" w:hAnsi="Saira"/>
          <w:sz w:val="18"/>
          <w:szCs w:val="18"/>
        </w:rPr>
        <w:t>material</w:t>
      </w:r>
      <w:r w:rsidRPr="008E6EB0">
        <w:rPr>
          <w:rFonts w:ascii="Saira" w:hAnsi="Saira"/>
          <w:sz w:val="18"/>
          <w:szCs w:val="18"/>
        </w:rPr>
        <w:t xml:space="preserve"> ist für die Med</w:t>
      </w:r>
      <w:r w:rsidR="00936D09" w:rsidRPr="008E6EB0">
        <w:rPr>
          <w:rFonts w:ascii="Saira" w:hAnsi="Saira"/>
          <w:sz w:val="18"/>
          <w:szCs w:val="18"/>
        </w:rPr>
        <w:t xml:space="preserve">ien zur Berichterstattung frei </w:t>
      </w:r>
      <w:r w:rsidRPr="008E6EB0">
        <w:rPr>
          <w:rFonts w:ascii="Saira" w:hAnsi="Saira"/>
          <w:sz w:val="18"/>
          <w:szCs w:val="18"/>
        </w:rPr>
        <w:t>verwendbar, vorausgesetzt, bei der Verwendung wird deutlich sichtb</w:t>
      </w:r>
      <w:r w:rsidR="00936D09" w:rsidRPr="008E6EB0">
        <w:rPr>
          <w:rFonts w:ascii="Saira" w:hAnsi="Saira"/>
          <w:sz w:val="18"/>
          <w:szCs w:val="18"/>
        </w:rPr>
        <w:t xml:space="preserve">ar folgender Copyright-Hinweis </w:t>
      </w:r>
      <w:r w:rsidRPr="008E6EB0">
        <w:rPr>
          <w:rFonts w:ascii="Saira" w:hAnsi="Saira"/>
          <w:sz w:val="18"/>
          <w:szCs w:val="18"/>
        </w:rPr>
        <w:t xml:space="preserve">angebracht: </w:t>
      </w:r>
      <w:r w:rsidRPr="008E6EB0">
        <w:rPr>
          <w:rFonts w:ascii="Saira" w:hAnsi="Saira"/>
          <w:sz w:val="18"/>
        </w:rPr>
        <w:t>THD</w:t>
      </w:r>
    </w:p>
    <w:p w14:paraId="09C8D49D" w14:textId="77777777" w:rsidR="00975183" w:rsidRPr="008E6EB0" w:rsidRDefault="00975183" w:rsidP="00975183">
      <w:pPr>
        <w:rPr>
          <w:rFonts w:ascii="Saira" w:hAnsi="Saira"/>
          <w:sz w:val="18"/>
        </w:rPr>
      </w:pPr>
    </w:p>
    <w:p w14:paraId="3ABBE6E7" w14:textId="77777777" w:rsidR="00273616" w:rsidRPr="00273616" w:rsidRDefault="00273616" w:rsidP="00273616">
      <w:pPr>
        <w:spacing w:before="100" w:beforeAutospacing="1" w:after="100" w:afterAutospacing="1"/>
        <w:rPr>
          <w:rFonts w:ascii="Saira" w:hAnsi="Saira"/>
          <w:b/>
          <w:bCs/>
          <w:sz w:val="18"/>
          <w:szCs w:val="18"/>
        </w:rPr>
      </w:pPr>
      <w:r w:rsidRPr="00273616">
        <w:rPr>
          <w:rFonts w:ascii="Saira" w:hAnsi="Saira"/>
          <w:b/>
          <w:bCs/>
          <w:sz w:val="18"/>
          <w:szCs w:val="18"/>
        </w:rPr>
        <w:t>Über die THD:</w:t>
      </w:r>
    </w:p>
    <w:p w14:paraId="786789A3" w14:textId="40C67A97"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t>Die Technische Hochschule Deggendorf (THD) wurde 1994 gegründet und hat den Anspruch, zu den innovativen Vorreitern in der bayerischen Hochschullandschaft zu zählen. Explizit das THD-Konzept der Technologietransferzentren und die damit einhergehende Regionalisierung von Forschung besitzt Vorbildcharakter. So hat die TH Deggendorf derzeit 17 Technologie Campi und gilt deshalb als eine der forschungsstärksten Hochschulen für Angewandte Wissenschaften in Bayern. Bei der Gestaltung des Transfers von Wissen und Technologie in die Gesellschaft sind Wirtschaft und Kommunen enge Partner der Hochschule. Das wissenschaftliche Profil der THD wird durch vier interdisziplinäre Forschungsschwerpunkte geprägt: “Digital Technologies“, “Sustainable Production &amp; Energy Technologies“, “Smart Materials“ sowie “Quality of Life &amp; Healthcare“.</w:t>
      </w:r>
    </w:p>
    <w:p w14:paraId="37181C77" w14:textId="6FB86147"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t>Neben der Forschungsstärke sind Internationalisierung und Wachstum weitere Profilthemen der THD. Die Strategie 10.000+ hat sich zum Ziel gesetzt, bis 2030 eben diese Zahl an Studierenden an der THD zu haben. Derzeit sind etwa 9.</w:t>
      </w:r>
      <w:r w:rsidR="0065566E">
        <w:rPr>
          <w:rFonts w:ascii="Saira" w:hAnsi="Saira"/>
          <w:sz w:val="18"/>
          <w:szCs w:val="18"/>
        </w:rPr>
        <w:t>5</w:t>
      </w:r>
      <w:r w:rsidRPr="00273616">
        <w:rPr>
          <w:rFonts w:ascii="Saira" w:hAnsi="Saira"/>
          <w:sz w:val="18"/>
          <w:szCs w:val="18"/>
        </w:rPr>
        <w:t>00 junge Menschen an den drei Studienstandorten Deggendorf, Pfarrkirchen und Cham immatrikuliert. Etwa 45 Prozent davon sind internationale Studierende.</w:t>
      </w:r>
    </w:p>
    <w:p w14:paraId="3308CA96" w14:textId="77777777"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lastRenderedPageBreak/>
        <w:t>Die acht Fakultäten und das Zentrum für Akademische Weiterbildung bieten rund 100 verschiedene Bachelor- und Masterstudiengänge aus den Bereichen Wirtschaftswissenschaften, Ingenieurwissenschaften, Informatik, angewandte Naturwissenschaften sowie Gesundheitswissenschaften an. An der Fakultät European Campus Rottal-Inn (ECRI), werden international ausgerichtete Bachelor- und Masterstudiengänge in den Bereichen Gesundheitswissenschaften, Tourismus und Technik angeboten. Letzteres Thema gilt auch für den dritten Studienstandort der THD in Cham, wo es einen Bachelor und drei Masterstudiengänge gibt.</w:t>
      </w:r>
    </w:p>
    <w:p w14:paraId="6F86F94C" w14:textId="4C55AC07" w:rsidR="00FF36F5" w:rsidRDefault="00FF36F5" w:rsidP="00FF36F5">
      <w:pPr>
        <w:spacing w:before="100" w:beforeAutospacing="1" w:after="100" w:afterAutospacing="1"/>
        <w:rPr>
          <w:rFonts w:ascii="Saira" w:hAnsi="Saira"/>
          <w:sz w:val="18"/>
          <w:szCs w:val="18"/>
        </w:rPr>
      </w:pPr>
      <w:r w:rsidRPr="00273616">
        <w:rPr>
          <w:rFonts w:ascii="Saira" w:hAnsi="Saira"/>
          <w:b/>
          <w:bCs/>
          <w:sz w:val="18"/>
          <w:szCs w:val="18"/>
        </w:rPr>
        <w:t xml:space="preserve">Über </w:t>
      </w:r>
      <w:r>
        <w:rPr>
          <w:rFonts w:ascii="Saira" w:hAnsi="Saira"/>
          <w:b/>
          <w:bCs/>
          <w:sz w:val="18"/>
          <w:szCs w:val="18"/>
        </w:rPr>
        <w:t xml:space="preserve">den Campus Mainburg der </w:t>
      </w:r>
      <w:r w:rsidRPr="00273616">
        <w:rPr>
          <w:rFonts w:ascii="Saira" w:hAnsi="Saira"/>
          <w:b/>
          <w:bCs/>
          <w:sz w:val="18"/>
          <w:szCs w:val="18"/>
        </w:rPr>
        <w:t>THD:</w:t>
      </w:r>
    </w:p>
    <w:p w14:paraId="69F13067" w14:textId="3B66BDAA" w:rsidR="00A217E9" w:rsidRPr="00FF36F5" w:rsidRDefault="00D538D7" w:rsidP="00D538D7">
      <w:pPr>
        <w:rPr>
          <w:rFonts w:ascii="Saira" w:hAnsi="Saira"/>
          <w:sz w:val="18"/>
          <w:szCs w:val="18"/>
        </w:rPr>
      </w:pPr>
      <w:r w:rsidRPr="00FF36F5">
        <w:rPr>
          <w:rFonts w:ascii="Saira" w:hAnsi="Saira"/>
          <w:sz w:val="18"/>
          <w:szCs w:val="18"/>
        </w:rPr>
        <w:t>Der Campus Mainburg der Technischen Hochschule Deggendorf ist ein innovativer Forschungsstandort mit Fokus auf nachhaltige Gebäudetechnik. Schwerpunkte sind nachhaltiges Bauen und Betreiben, Digitalisierung sowie der Einsatz von Big Data und KI zur Optimierung von Energieeffizienz und Betrieb. Zudem werden moderne Konzepte zur Wärmeerzeugung, Lüftungs- und Strömungstechnik erforscht. Der Campus verbindet praxisnahe Forschung mit industrieller Anwendung und trägt aktiv zur Entwicklung zukunftsfähiger Gebäudelösungen bei.</w:t>
      </w:r>
      <w:r w:rsidR="00A217E9">
        <w:rPr>
          <w:rFonts w:ascii="Saira" w:hAnsi="Saira"/>
          <w:sz w:val="18"/>
          <w:szCs w:val="18"/>
        </w:rPr>
        <w:t> </w:t>
      </w:r>
    </w:p>
    <w:p w14:paraId="64DAC7CB" w14:textId="0EFA2E51" w:rsidR="00A217E9" w:rsidRDefault="00A217E9" w:rsidP="00D538D7">
      <w:pPr>
        <w:spacing w:before="100" w:beforeAutospacing="1" w:after="100" w:afterAutospacing="1"/>
      </w:pPr>
      <w:r>
        <w:rPr>
          <w:rFonts w:ascii="Saira" w:hAnsi="Saira"/>
          <w:sz w:val="18"/>
          <w:szCs w:val="18"/>
        </w:rPr>
        <w:t xml:space="preserve">Erfahren Sie mehr über uns: </w:t>
      </w:r>
      <w:hyperlink r:id="rId7" w:history="1">
        <w:r w:rsidR="00680CF2" w:rsidRPr="00EC02E6">
          <w:rPr>
            <w:rStyle w:val="Hyperlink"/>
            <w:rFonts w:ascii="Saira" w:hAnsi="Saira"/>
            <w:sz w:val="18"/>
            <w:szCs w:val="18"/>
          </w:rPr>
          <w:t>www.th-deg.de</w:t>
        </w:r>
        <w:r w:rsidR="00680CF2" w:rsidRPr="00EC02E6">
          <w:rPr>
            <w:rStyle w:val="Hyperlink"/>
          </w:rPr>
          <w:t>/campus-mainburg</w:t>
        </w:r>
      </w:hyperlink>
      <w:r w:rsidR="00680CF2">
        <w:t xml:space="preserve"> </w:t>
      </w:r>
    </w:p>
    <w:p w14:paraId="04CE6954" w14:textId="77777777" w:rsidR="006F493C" w:rsidRDefault="006F493C" w:rsidP="006F493C">
      <w:pPr>
        <w:rPr>
          <w:rFonts w:ascii="Saira" w:hAnsi="Saira"/>
          <w:sz w:val="18"/>
          <w:szCs w:val="18"/>
        </w:rPr>
      </w:pPr>
    </w:p>
    <w:p w14:paraId="7DAB6B3E" w14:textId="77777777" w:rsidR="006F493C" w:rsidRPr="00FF36F5" w:rsidRDefault="006F493C" w:rsidP="006F493C">
      <w:pPr>
        <w:rPr>
          <w:rFonts w:ascii="Saira" w:hAnsi="Saira"/>
          <w:b/>
          <w:bCs/>
          <w:sz w:val="18"/>
          <w:szCs w:val="18"/>
        </w:rPr>
      </w:pPr>
      <w:r w:rsidRPr="00FF36F5">
        <w:rPr>
          <w:rFonts w:ascii="Saira" w:hAnsi="Saira"/>
          <w:b/>
          <w:bCs/>
          <w:sz w:val="18"/>
          <w:szCs w:val="18"/>
        </w:rPr>
        <w:t>Pressekontakt:</w:t>
      </w:r>
    </w:p>
    <w:p w14:paraId="343E1E6A" w14:textId="77777777" w:rsidR="006F493C" w:rsidRPr="00FF36F5" w:rsidRDefault="006F493C" w:rsidP="006F493C">
      <w:pPr>
        <w:rPr>
          <w:rFonts w:ascii="Saira" w:hAnsi="Saira"/>
          <w:sz w:val="18"/>
          <w:szCs w:val="18"/>
        </w:rPr>
      </w:pPr>
      <w:r w:rsidRPr="00FF36F5">
        <w:rPr>
          <w:rFonts w:ascii="Saira" w:hAnsi="Saira"/>
          <w:sz w:val="18"/>
          <w:szCs w:val="18"/>
        </w:rPr>
        <w:t>Technische Hochschule Deggendorf</w:t>
      </w:r>
    </w:p>
    <w:p w14:paraId="4CF0606B" w14:textId="053DCA8C" w:rsidR="00680CF2" w:rsidRPr="00FF36F5" w:rsidRDefault="00680CF2" w:rsidP="006F493C">
      <w:pPr>
        <w:rPr>
          <w:rFonts w:ascii="Saira" w:hAnsi="Saira"/>
          <w:sz w:val="18"/>
          <w:szCs w:val="18"/>
        </w:rPr>
      </w:pPr>
      <w:r w:rsidRPr="00FF36F5">
        <w:rPr>
          <w:rFonts w:ascii="Saira" w:hAnsi="Saira"/>
          <w:sz w:val="18"/>
          <w:szCs w:val="18"/>
        </w:rPr>
        <w:t>Campus Mainburg</w:t>
      </w:r>
    </w:p>
    <w:p w14:paraId="4B5C6977" w14:textId="77777777" w:rsidR="00680CF2" w:rsidRPr="00FF36F5" w:rsidRDefault="00680CF2" w:rsidP="006F493C">
      <w:pPr>
        <w:rPr>
          <w:rFonts w:ascii="Saira" w:hAnsi="Saira"/>
          <w:sz w:val="18"/>
          <w:szCs w:val="18"/>
        </w:rPr>
      </w:pPr>
      <w:r w:rsidRPr="00FF36F5">
        <w:rPr>
          <w:rFonts w:ascii="Saira" w:hAnsi="Saira"/>
          <w:sz w:val="18"/>
          <w:szCs w:val="18"/>
        </w:rPr>
        <w:t>Industriestraße 2</w:t>
      </w:r>
    </w:p>
    <w:p w14:paraId="16480D9E" w14:textId="680BB172" w:rsidR="006F493C" w:rsidRPr="00FF36F5" w:rsidRDefault="00680CF2" w:rsidP="006F493C">
      <w:pPr>
        <w:rPr>
          <w:rFonts w:ascii="Saira" w:hAnsi="Saira"/>
          <w:sz w:val="18"/>
          <w:szCs w:val="18"/>
        </w:rPr>
      </w:pPr>
      <w:r w:rsidRPr="00FF36F5">
        <w:rPr>
          <w:rFonts w:ascii="Saira" w:hAnsi="Saira"/>
          <w:sz w:val="18"/>
          <w:szCs w:val="18"/>
        </w:rPr>
        <w:t>84048 Mainburg</w:t>
      </w:r>
    </w:p>
    <w:p w14:paraId="0227E254" w14:textId="39385E05" w:rsidR="00680CF2" w:rsidRDefault="00680CF2" w:rsidP="006F493C">
      <w:hyperlink r:id="rId8" w:history="1">
        <w:r w:rsidRPr="00FF36F5">
          <w:rPr>
            <w:rStyle w:val="Hyperlink"/>
          </w:rPr>
          <w:t>campus-mainburg@th-deg.de</w:t>
        </w:r>
      </w:hyperlink>
    </w:p>
    <w:p w14:paraId="653F2CE7" w14:textId="6DFC4675" w:rsidR="006F493C" w:rsidRDefault="006F493C" w:rsidP="006F493C">
      <w:pPr>
        <w:rPr>
          <w:rFonts w:ascii="Saira" w:hAnsi="Saira"/>
          <w:sz w:val="18"/>
          <w:szCs w:val="18"/>
        </w:rPr>
      </w:pPr>
      <w:r>
        <w:rPr>
          <w:rFonts w:ascii="Saira" w:hAnsi="Saira"/>
          <w:sz w:val="18"/>
          <w:szCs w:val="18"/>
        </w:rPr>
        <w:t xml:space="preserve"> </w:t>
      </w:r>
    </w:p>
    <w:p w14:paraId="658DAAC5" w14:textId="77777777" w:rsidR="00975183" w:rsidRPr="008E6EB0" w:rsidRDefault="00975183" w:rsidP="00820927">
      <w:pPr>
        <w:rPr>
          <w:rFonts w:ascii="Saira" w:hAnsi="Saira"/>
          <w:sz w:val="18"/>
        </w:rPr>
      </w:pPr>
    </w:p>
    <w:sectPr w:rsidR="00975183" w:rsidRPr="008E6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ira">
    <w:panose1 w:val="00000500000000000000"/>
    <w:charset w:val="00"/>
    <w:family w:val="auto"/>
    <w:pitch w:val="variable"/>
    <w:sig w:usb0="A00000FF" w:usb1="500020F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75B10"/>
    <w:multiLevelType w:val="hybridMultilevel"/>
    <w:tmpl w:val="6FF0E72C"/>
    <w:lvl w:ilvl="0" w:tplc="EF52DEC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21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6B"/>
    <w:rsid w:val="00015C44"/>
    <w:rsid w:val="00017DF3"/>
    <w:rsid w:val="000249C9"/>
    <w:rsid w:val="00051DE0"/>
    <w:rsid w:val="00083A74"/>
    <w:rsid w:val="00084555"/>
    <w:rsid w:val="00086EE4"/>
    <w:rsid w:val="00094BD5"/>
    <w:rsid w:val="00095FF3"/>
    <w:rsid w:val="00096EA2"/>
    <w:rsid w:val="000A5CAC"/>
    <w:rsid w:val="000B5F99"/>
    <w:rsid w:val="00100B6F"/>
    <w:rsid w:val="001062A8"/>
    <w:rsid w:val="00106983"/>
    <w:rsid w:val="001102B0"/>
    <w:rsid w:val="00112B38"/>
    <w:rsid w:val="00130EF5"/>
    <w:rsid w:val="0018122F"/>
    <w:rsid w:val="001A07AD"/>
    <w:rsid w:val="001A585F"/>
    <w:rsid w:val="001B23D0"/>
    <w:rsid w:val="001C729D"/>
    <w:rsid w:val="001D2601"/>
    <w:rsid w:val="001E1794"/>
    <w:rsid w:val="001E454D"/>
    <w:rsid w:val="00207538"/>
    <w:rsid w:val="00214E8D"/>
    <w:rsid w:val="00222196"/>
    <w:rsid w:val="00223B1D"/>
    <w:rsid w:val="0026620E"/>
    <w:rsid w:val="002666B4"/>
    <w:rsid w:val="00273616"/>
    <w:rsid w:val="002909AA"/>
    <w:rsid w:val="00291873"/>
    <w:rsid w:val="002A2D74"/>
    <w:rsid w:val="002A3945"/>
    <w:rsid w:val="002B2020"/>
    <w:rsid w:val="002C180D"/>
    <w:rsid w:val="002C2F32"/>
    <w:rsid w:val="002D62D1"/>
    <w:rsid w:val="002E557B"/>
    <w:rsid w:val="00310EF9"/>
    <w:rsid w:val="00314975"/>
    <w:rsid w:val="0033724F"/>
    <w:rsid w:val="00350ACF"/>
    <w:rsid w:val="00356C8A"/>
    <w:rsid w:val="00360356"/>
    <w:rsid w:val="00377009"/>
    <w:rsid w:val="003879B0"/>
    <w:rsid w:val="00392576"/>
    <w:rsid w:val="003A25AC"/>
    <w:rsid w:val="003B627B"/>
    <w:rsid w:val="003C0EB3"/>
    <w:rsid w:val="003C242C"/>
    <w:rsid w:val="003D1FA5"/>
    <w:rsid w:val="003E6935"/>
    <w:rsid w:val="003F29F1"/>
    <w:rsid w:val="003F2CB6"/>
    <w:rsid w:val="003F2F82"/>
    <w:rsid w:val="003F6440"/>
    <w:rsid w:val="00406204"/>
    <w:rsid w:val="004165B4"/>
    <w:rsid w:val="00427CCE"/>
    <w:rsid w:val="00433257"/>
    <w:rsid w:val="004560EA"/>
    <w:rsid w:val="00472B83"/>
    <w:rsid w:val="0047410B"/>
    <w:rsid w:val="00477044"/>
    <w:rsid w:val="004931B9"/>
    <w:rsid w:val="004A03C5"/>
    <w:rsid w:val="004A5C98"/>
    <w:rsid w:val="004A66D7"/>
    <w:rsid w:val="004B4C78"/>
    <w:rsid w:val="004B6BCD"/>
    <w:rsid w:val="004C1D77"/>
    <w:rsid w:val="004C6478"/>
    <w:rsid w:val="004E1081"/>
    <w:rsid w:val="004F6D07"/>
    <w:rsid w:val="00503CB2"/>
    <w:rsid w:val="00503EC7"/>
    <w:rsid w:val="005154A0"/>
    <w:rsid w:val="005544E7"/>
    <w:rsid w:val="00560B46"/>
    <w:rsid w:val="00576488"/>
    <w:rsid w:val="0058355D"/>
    <w:rsid w:val="0059189B"/>
    <w:rsid w:val="005B3705"/>
    <w:rsid w:val="005B7324"/>
    <w:rsid w:val="005C0BF3"/>
    <w:rsid w:val="005C39F1"/>
    <w:rsid w:val="005C6EA5"/>
    <w:rsid w:val="005C6FCB"/>
    <w:rsid w:val="005D7AB2"/>
    <w:rsid w:val="005F0D41"/>
    <w:rsid w:val="005F3633"/>
    <w:rsid w:val="006030D5"/>
    <w:rsid w:val="00607824"/>
    <w:rsid w:val="006255D2"/>
    <w:rsid w:val="006356A3"/>
    <w:rsid w:val="00637651"/>
    <w:rsid w:val="006449F1"/>
    <w:rsid w:val="0064740F"/>
    <w:rsid w:val="0065566E"/>
    <w:rsid w:val="00660946"/>
    <w:rsid w:val="00667422"/>
    <w:rsid w:val="00675A84"/>
    <w:rsid w:val="00675EFC"/>
    <w:rsid w:val="00680CF2"/>
    <w:rsid w:val="006A3933"/>
    <w:rsid w:val="006A5310"/>
    <w:rsid w:val="006B1235"/>
    <w:rsid w:val="006B19C2"/>
    <w:rsid w:val="006C46FB"/>
    <w:rsid w:val="006E6A29"/>
    <w:rsid w:val="006F15CB"/>
    <w:rsid w:val="006F493C"/>
    <w:rsid w:val="006F797D"/>
    <w:rsid w:val="00712C2D"/>
    <w:rsid w:val="00717510"/>
    <w:rsid w:val="007218A4"/>
    <w:rsid w:val="00724FF9"/>
    <w:rsid w:val="007332DF"/>
    <w:rsid w:val="00752174"/>
    <w:rsid w:val="007658EE"/>
    <w:rsid w:val="00783934"/>
    <w:rsid w:val="00785AB9"/>
    <w:rsid w:val="00787596"/>
    <w:rsid w:val="00794F25"/>
    <w:rsid w:val="007964AC"/>
    <w:rsid w:val="007B2ECE"/>
    <w:rsid w:val="007C0537"/>
    <w:rsid w:val="007D1DF3"/>
    <w:rsid w:val="007D7261"/>
    <w:rsid w:val="007E03C1"/>
    <w:rsid w:val="007F2224"/>
    <w:rsid w:val="0081596B"/>
    <w:rsid w:val="00820927"/>
    <w:rsid w:val="00827B5E"/>
    <w:rsid w:val="0084259E"/>
    <w:rsid w:val="00843EE0"/>
    <w:rsid w:val="008474FC"/>
    <w:rsid w:val="00850D5F"/>
    <w:rsid w:val="008510C2"/>
    <w:rsid w:val="00852195"/>
    <w:rsid w:val="00856E01"/>
    <w:rsid w:val="0087012C"/>
    <w:rsid w:val="00873855"/>
    <w:rsid w:val="00875B84"/>
    <w:rsid w:val="00886BEE"/>
    <w:rsid w:val="00894D04"/>
    <w:rsid w:val="008B3C10"/>
    <w:rsid w:val="008B4DEA"/>
    <w:rsid w:val="008C0B56"/>
    <w:rsid w:val="008C2F59"/>
    <w:rsid w:val="008E5D3E"/>
    <w:rsid w:val="008E6EB0"/>
    <w:rsid w:val="008E7FF2"/>
    <w:rsid w:val="008F16FB"/>
    <w:rsid w:val="00906700"/>
    <w:rsid w:val="00906E97"/>
    <w:rsid w:val="009227D5"/>
    <w:rsid w:val="0093468D"/>
    <w:rsid w:val="00936D09"/>
    <w:rsid w:val="00940BFB"/>
    <w:rsid w:val="00942DC1"/>
    <w:rsid w:val="009478F9"/>
    <w:rsid w:val="00966B06"/>
    <w:rsid w:val="00970211"/>
    <w:rsid w:val="00970EFE"/>
    <w:rsid w:val="00974533"/>
    <w:rsid w:val="00975183"/>
    <w:rsid w:val="00986BF3"/>
    <w:rsid w:val="009A0BC8"/>
    <w:rsid w:val="009A338F"/>
    <w:rsid w:val="009B0512"/>
    <w:rsid w:val="009C2C5D"/>
    <w:rsid w:val="009C7175"/>
    <w:rsid w:val="009E3DD2"/>
    <w:rsid w:val="009E4C10"/>
    <w:rsid w:val="009F11F6"/>
    <w:rsid w:val="009F2DD1"/>
    <w:rsid w:val="00A217E9"/>
    <w:rsid w:val="00A25E90"/>
    <w:rsid w:val="00A26798"/>
    <w:rsid w:val="00A64D22"/>
    <w:rsid w:val="00A67209"/>
    <w:rsid w:val="00A7152A"/>
    <w:rsid w:val="00A77C0E"/>
    <w:rsid w:val="00A81095"/>
    <w:rsid w:val="00A859CB"/>
    <w:rsid w:val="00AB2C33"/>
    <w:rsid w:val="00AC45B7"/>
    <w:rsid w:val="00AD78C4"/>
    <w:rsid w:val="00AE21BE"/>
    <w:rsid w:val="00AE5247"/>
    <w:rsid w:val="00AF685A"/>
    <w:rsid w:val="00B07564"/>
    <w:rsid w:val="00B117CA"/>
    <w:rsid w:val="00B25B2F"/>
    <w:rsid w:val="00B313F1"/>
    <w:rsid w:val="00B31D65"/>
    <w:rsid w:val="00B80584"/>
    <w:rsid w:val="00B814E9"/>
    <w:rsid w:val="00B95844"/>
    <w:rsid w:val="00B977BB"/>
    <w:rsid w:val="00BB2852"/>
    <w:rsid w:val="00BE04EB"/>
    <w:rsid w:val="00BE5EE5"/>
    <w:rsid w:val="00BF501B"/>
    <w:rsid w:val="00BF54D4"/>
    <w:rsid w:val="00C032C6"/>
    <w:rsid w:val="00C105E8"/>
    <w:rsid w:val="00C11C15"/>
    <w:rsid w:val="00C1325F"/>
    <w:rsid w:val="00C17373"/>
    <w:rsid w:val="00C238F0"/>
    <w:rsid w:val="00C271FD"/>
    <w:rsid w:val="00C62774"/>
    <w:rsid w:val="00C670C6"/>
    <w:rsid w:val="00C730DE"/>
    <w:rsid w:val="00C8057D"/>
    <w:rsid w:val="00C83525"/>
    <w:rsid w:val="00CA0506"/>
    <w:rsid w:val="00CA5594"/>
    <w:rsid w:val="00CD0EE7"/>
    <w:rsid w:val="00CF28C6"/>
    <w:rsid w:val="00D05F8F"/>
    <w:rsid w:val="00D0614D"/>
    <w:rsid w:val="00D06E68"/>
    <w:rsid w:val="00D12424"/>
    <w:rsid w:val="00D16DB8"/>
    <w:rsid w:val="00D17E88"/>
    <w:rsid w:val="00D21549"/>
    <w:rsid w:val="00D23494"/>
    <w:rsid w:val="00D27A17"/>
    <w:rsid w:val="00D3117B"/>
    <w:rsid w:val="00D33F2A"/>
    <w:rsid w:val="00D40476"/>
    <w:rsid w:val="00D41FBE"/>
    <w:rsid w:val="00D538D7"/>
    <w:rsid w:val="00D65BB6"/>
    <w:rsid w:val="00D81BAB"/>
    <w:rsid w:val="00D91E08"/>
    <w:rsid w:val="00D93CCE"/>
    <w:rsid w:val="00DA33C0"/>
    <w:rsid w:val="00DC0F4D"/>
    <w:rsid w:val="00DC43FF"/>
    <w:rsid w:val="00DD5C82"/>
    <w:rsid w:val="00DE778A"/>
    <w:rsid w:val="00DF2A67"/>
    <w:rsid w:val="00E1108E"/>
    <w:rsid w:val="00E26DDA"/>
    <w:rsid w:val="00E27FE8"/>
    <w:rsid w:val="00E72FB6"/>
    <w:rsid w:val="00E74E89"/>
    <w:rsid w:val="00E777E0"/>
    <w:rsid w:val="00E904B9"/>
    <w:rsid w:val="00E92957"/>
    <w:rsid w:val="00E9534B"/>
    <w:rsid w:val="00EB0317"/>
    <w:rsid w:val="00EB23E8"/>
    <w:rsid w:val="00EB32B1"/>
    <w:rsid w:val="00EE5CE3"/>
    <w:rsid w:val="00F04E17"/>
    <w:rsid w:val="00F12796"/>
    <w:rsid w:val="00F13A34"/>
    <w:rsid w:val="00F223CC"/>
    <w:rsid w:val="00F305AE"/>
    <w:rsid w:val="00F327E6"/>
    <w:rsid w:val="00F63783"/>
    <w:rsid w:val="00F719C9"/>
    <w:rsid w:val="00F77676"/>
    <w:rsid w:val="00F940C2"/>
    <w:rsid w:val="00F97A16"/>
    <w:rsid w:val="00FA3709"/>
    <w:rsid w:val="00FC5BC1"/>
    <w:rsid w:val="00FE29A5"/>
    <w:rsid w:val="00FF0786"/>
    <w:rsid w:val="00FF36F5"/>
    <w:rsid w:val="00FF57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6E01"/>
  <w15:docId w15:val="{C779B84D-9B53-400A-AB29-799BAD04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596B"/>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1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189B"/>
    <w:rPr>
      <w:rFonts w:ascii="Tahoma" w:hAnsi="Tahoma" w:cs="Tahoma"/>
      <w:sz w:val="16"/>
      <w:szCs w:val="16"/>
    </w:rPr>
  </w:style>
  <w:style w:type="character" w:styleId="Hyperlink">
    <w:name w:val="Hyperlink"/>
    <w:basedOn w:val="Absatz-Standardschriftart"/>
    <w:uiPriority w:val="99"/>
    <w:unhideWhenUsed/>
    <w:rsid w:val="005C39F1"/>
    <w:rPr>
      <w:color w:val="0000FF" w:themeColor="hyperlink"/>
      <w:u w:val="single"/>
    </w:rPr>
  </w:style>
  <w:style w:type="paragraph" w:styleId="Listenabsatz">
    <w:name w:val="List Paragraph"/>
    <w:basedOn w:val="Standard"/>
    <w:uiPriority w:val="34"/>
    <w:qFormat/>
    <w:rsid w:val="00D3117B"/>
    <w:pPr>
      <w:spacing w:after="200" w:line="276" w:lineRule="auto"/>
      <w:ind w:left="720"/>
      <w:contextualSpacing/>
    </w:pPr>
    <w:rPr>
      <w:rFonts w:asciiTheme="minorHAnsi" w:hAnsiTheme="minorHAnsi" w:cstheme="minorBidi"/>
    </w:rPr>
  </w:style>
  <w:style w:type="paragraph" w:styleId="Kopfzeile">
    <w:name w:val="header"/>
    <w:basedOn w:val="Standard"/>
    <w:link w:val="KopfzeileZchn"/>
    <w:semiHidden/>
    <w:rsid w:val="00B31D65"/>
    <w:pPr>
      <w:tabs>
        <w:tab w:val="center" w:pos="4536"/>
        <w:tab w:val="right" w:pos="9072"/>
      </w:tabs>
    </w:pPr>
    <w:rPr>
      <w:rFonts w:ascii="Arial" w:eastAsia="Times New Roman" w:hAnsi="Arial"/>
      <w:sz w:val="24"/>
      <w:szCs w:val="20"/>
      <w:lang w:eastAsia="de-DE"/>
    </w:rPr>
  </w:style>
  <w:style w:type="character" w:customStyle="1" w:styleId="KopfzeileZchn">
    <w:name w:val="Kopfzeile Zchn"/>
    <w:basedOn w:val="Absatz-Standardschriftart"/>
    <w:link w:val="Kopfzeile"/>
    <w:semiHidden/>
    <w:rsid w:val="00B31D65"/>
    <w:rPr>
      <w:rFonts w:ascii="Arial" w:eastAsia="Times New Roman" w:hAnsi="Arial" w:cs="Times New Roman"/>
      <w:sz w:val="24"/>
      <w:szCs w:val="20"/>
      <w:lang w:eastAsia="de-DE"/>
    </w:rPr>
  </w:style>
  <w:style w:type="character" w:styleId="Kommentarzeichen">
    <w:name w:val="annotation reference"/>
    <w:basedOn w:val="Absatz-Standardschriftart"/>
    <w:uiPriority w:val="99"/>
    <w:unhideWhenUsed/>
    <w:rsid w:val="006A5310"/>
    <w:rPr>
      <w:sz w:val="16"/>
      <w:szCs w:val="16"/>
    </w:rPr>
  </w:style>
  <w:style w:type="paragraph" w:styleId="Kommentartext">
    <w:name w:val="annotation text"/>
    <w:basedOn w:val="Standard"/>
    <w:link w:val="KommentartextZchn"/>
    <w:uiPriority w:val="99"/>
    <w:unhideWhenUsed/>
    <w:rsid w:val="006A5310"/>
    <w:pPr>
      <w:spacing w:after="200"/>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rsid w:val="006A5310"/>
    <w:rPr>
      <w:sz w:val="20"/>
      <w:szCs w:val="20"/>
    </w:rPr>
  </w:style>
  <w:style w:type="paragraph" w:styleId="Kommentarthema">
    <w:name w:val="annotation subject"/>
    <w:basedOn w:val="Kommentartext"/>
    <w:next w:val="Kommentartext"/>
    <w:link w:val="KommentarthemaZchn"/>
    <w:uiPriority w:val="99"/>
    <w:semiHidden/>
    <w:unhideWhenUsed/>
    <w:rsid w:val="006A5310"/>
    <w:pPr>
      <w:spacing w:after="0"/>
    </w:pPr>
    <w:rPr>
      <w:rFonts w:ascii="Calibri" w:hAnsi="Calibri" w:cs="Times New Roman"/>
      <w:b/>
      <w:bCs/>
    </w:rPr>
  </w:style>
  <w:style w:type="character" w:customStyle="1" w:styleId="KommentarthemaZchn">
    <w:name w:val="Kommentarthema Zchn"/>
    <w:basedOn w:val="KommentartextZchn"/>
    <w:link w:val="Kommentarthema"/>
    <w:uiPriority w:val="99"/>
    <w:semiHidden/>
    <w:rsid w:val="006A5310"/>
    <w:rPr>
      <w:rFonts w:ascii="Calibri" w:hAnsi="Calibri" w:cs="Times New Roman"/>
      <w:b/>
      <w:bCs/>
      <w:sz w:val="20"/>
      <w:szCs w:val="20"/>
    </w:rPr>
  </w:style>
  <w:style w:type="paragraph" w:styleId="berarbeitung">
    <w:name w:val="Revision"/>
    <w:hidden/>
    <w:uiPriority w:val="99"/>
    <w:semiHidden/>
    <w:rsid w:val="00D81BAB"/>
    <w:pPr>
      <w:spacing w:after="0" w:line="240" w:lineRule="auto"/>
    </w:pPr>
    <w:rPr>
      <w:rFonts w:ascii="Calibri" w:hAnsi="Calibri" w:cs="Times New Roman"/>
    </w:rPr>
  </w:style>
  <w:style w:type="paragraph" w:styleId="StandardWeb">
    <w:name w:val="Normal (Web)"/>
    <w:basedOn w:val="Standard"/>
    <w:uiPriority w:val="99"/>
    <w:unhideWhenUsed/>
    <w:rsid w:val="00D93CCE"/>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93CCE"/>
    <w:rPr>
      <w:b/>
      <w:bCs/>
    </w:rPr>
  </w:style>
  <w:style w:type="character" w:styleId="NichtaufgelsteErwhnung">
    <w:name w:val="Unresolved Mention"/>
    <w:basedOn w:val="Absatz-Standardschriftart"/>
    <w:uiPriority w:val="99"/>
    <w:semiHidden/>
    <w:unhideWhenUsed/>
    <w:rsid w:val="00680CF2"/>
    <w:rPr>
      <w:color w:val="605E5C"/>
      <w:shd w:val="clear" w:color="auto" w:fill="E1DFDD"/>
    </w:rPr>
  </w:style>
  <w:style w:type="character" w:styleId="BesuchterLink">
    <w:name w:val="FollowedHyperlink"/>
    <w:basedOn w:val="Absatz-Standardschriftart"/>
    <w:uiPriority w:val="99"/>
    <w:semiHidden/>
    <w:unhideWhenUsed/>
    <w:rsid w:val="00680C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4895">
      <w:bodyDiv w:val="1"/>
      <w:marLeft w:val="0"/>
      <w:marRight w:val="0"/>
      <w:marTop w:val="0"/>
      <w:marBottom w:val="0"/>
      <w:divBdr>
        <w:top w:val="none" w:sz="0" w:space="0" w:color="auto"/>
        <w:left w:val="none" w:sz="0" w:space="0" w:color="auto"/>
        <w:bottom w:val="none" w:sz="0" w:space="0" w:color="auto"/>
        <w:right w:val="none" w:sz="0" w:space="0" w:color="auto"/>
      </w:divBdr>
    </w:div>
    <w:div w:id="279798070">
      <w:bodyDiv w:val="1"/>
      <w:marLeft w:val="0"/>
      <w:marRight w:val="0"/>
      <w:marTop w:val="0"/>
      <w:marBottom w:val="0"/>
      <w:divBdr>
        <w:top w:val="none" w:sz="0" w:space="0" w:color="auto"/>
        <w:left w:val="none" w:sz="0" w:space="0" w:color="auto"/>
        <w:bottom w:val="none" w:sz="0" w:space="0" w:color="auto"/>
        <w:right w:val="none" w:sz="0" w:space="0" w:color="auto"/>
      </w:divBdr>
    </w:div>
    <w:div w:id="300313077">
      <w:bodyDiv w:val="1"/>
      <w:marLeft w:val="0"/>
      <w:marRight w:val="0"/>
      <w:marTop w:val="0"/>
      <w:marBottom w:val="0"/>
      <w:divBdr>
        <w:top w:val="none" w:sz="0" w:space="0" w:color="auto"/>
        <w:left w:val="none" w:sz="0" w:space="0" w:color="auto"/>
        <w:bottom w:val="none" w:sz="0" w:space="0" w:color="auto"/>
        <w:right w:val="none" w:sz="0" w:space="0" w:color="auto"/>
      </w:divBdr>
      <w:divsChild>
        <w:div w:id="1780291653">
          <w:marLeft w:val="0"/>
          <w:marRight w:val="0"/>
          <w:marTop w:val="0"/>
          <w:marBottom w:val="0"/>
          <w:divBdr>
            <w:top w:val="none" w:sz="0" w:space="0" w:color="auto"/>
            <w:left w:val="none" w:sz="0" w:space="0" w:color="auto"/>
            <w:bottom w:val="none" w:sz="0" w:space="0" w:color="auto"/>
            <w:right w:val="none" w:sz="0" w:space="0" w:color="auto"/>
          </w:divBdr>
          <w:divsChild>
            <w:div w:id="295523530">
              <w:marLeft w:val="0"/>
              <w:marRight w:val="0"/>
              <w:marTop w:val="0"/>
              <w:marBottom w:val="0"/>
              <w:divBdr>
                <w:top w:val="none" w:sz="0" w:space="0" w:color="auto"/>
                <w:left w:val="none" w:sz="0" w:space="0" w:color="auto"/>
                <w:bottom w:val="none" w:sz="0" w:space="0" w:color="auto"/>
                <w:right w:val="none" w:sz="0" w:space="0" w:color="auto"/>
              </w:divBdr>
              <w:divsChild>
                <w:div w:id="808287471">
                  <w:marLeft w:val="0"/>
                  <w:marRight w:val="0"/>
                  <w:marTop w:val="0"/>
                  <w:marBottom w:val="0"/>
                  <w:divBdr>
                    <w:top w:val="none" w:sz="0" w:space="0" w:color="auto"/>
                    <w:left w:val="none" w:sz="0" w:space="0" w:color="auto"/>
                    <w:bottom w:val="none" w:sz="0" w:space="0" w:color="auto"/>
                    <w:right w:val="none" w:sz="0" w:space="0" w:color="auto"/>
                  </w:divBdr>
                  <w:divsChild>
                    <w:div w:id="15045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4617">
          <w:marLeft w:val="0"/>
          <w:marRight w:val="0"/>
          <w:marTop w:val="0"/>
          <w:marBottom w:val="0"/>
          <w:divBdr>
            <w:top w:val="none" w:sz="0" w:space="0" w:color="auto"/>
            <w:left w:val="none" w:sz="0" w:space="0" w:color="auto"/>
            <w:bottom w:val="none" w:sz="0" w:space="0" w:color="auto"/>
            <w:right w:val="none" w:sz="0" w:space="0" w:color="auto"/>
          </w:divBdr>
        </w:div>
      </w:divsChild>
    </w:div>
    <w:div w:id="421026873">
      <w:bodyDiv w:val="1"/>
      <w:marLeft w:val="0"/>
      <w:marRight w:val="0"/>
      <w:marTop w:val="0"/>
      <w:marBottom w:val="0"/>
      <w:divBdr>
        <w:top w:val="none" w:sz="0" w:space="0" w:color="auto"/>
        <w:left w:val="none" w:sz="0" w:space="0" w:color="auto"/>
        <w:bottom w:val="none" w:sz="0" w:space="0" w:color="auto"/>
        <w:right w:val="none" w:sz="0" w:space="0" w:color="auto"/>
      </w:divBdr>
    </w:div>
    <w:div w:id="727461797">
      <w:bodyDiv w:val="1"/>
      <w:marLeft w:val="0"/>
      <w:marRight w:val="0"/>
      <w:marTop w:val="0"/>
      <w:marBottom w:val="0"/>
      <w:divBdr>
        <w:top w:val="none" w:sz="0" w:space="0" w:color="auto"/>
        <w:left w:val="none" w:sz="0" w:space="0" w:color="auto"/>
        <w:bottom w:val="none" w:sz="0" w:space="0" w:color="auto"/>
        <w:right w:val="none" w:sz="0" w:space="0" w:color="auto"/>
      </w:divBdr>
    </w:div>
    <w:div w:id="1008603320">
      <w:bodyDiv w:val="1"/>
      <w:marLeft w:val="0"/>
      <w:marRight w:val="0"/>
      <w:marTop w:val="0"/>
      <w:marBottom w:val="0"/>
      <w:divBdr>
        <w:top w:val="none" w:sz="0" w:space="0" w:color="auto"/>
        <w:left w:val="none" w:sz="0" w:space="0" w:color="auto"/>
        <w:bottom w:val="none" w:sz="0" w:space="0" w:color="auto"/>
        <w:right w:val="none" w:sz="0" w:space="0" w:color="auto"/>
      </w:divBdr>
    </w:div>
    <w:div w:id="1100640146">
      <w:bodyDiv w:val="1"/>
      <w:marLeft w:val="0"/>
      <w:marRight w:val="0"/>
      <w:marTop w:val="0"/>
      <w:marBottom w:val="0"/>
      <w:divBdr>
        <w:top w:val="none" w:sz="0" w:space="0" w:color="auto"/>
        <w:left w:val="none" w:sz="0" w:space="0" w:color="auto"/>
        <w:bottom w:val="none" w:sz="0" w:space="0" w:color="auto"/>
        <w:right w:val="none" w:sz="0" w:space="0" w:color="auto"/>
      </w:divBdr>
    </w:div>
    <w:div w:id="1207907444">
      <w:bodyDiv w:val="1"/>
      <w:marLeft w:val="0"/>
      <w:marRight w:val="0"/>
      <w:marTop w:val="0"/>
      <w:marBottom w:val="0"/>
      <w:divBdr>
        <w:top w:val="none" w:sz="0" w:space="0" w:color="auto"/>
        <w:left w:val="none" w:sz="0" w:space="0" w:color="auto"/>
        <w:bottom w:val="none" w:sz="0" w:space="0" w:color="auto"/>
        <w:right w:val="none" w:sz="0" w:space="0" w:color="auto"/>
      </w:divBdr>
    </w:div>
    <w:div w:id="1222446588">
      <w:bodyDiv w:val="1"/>
      <w:marLeft w:val="0"/>
      <w:marRight w:val="0"/>
      <w:marTop w:val="0"/>
      <w:marBottom w:val="0"/>
      <w:divBdr>
        <w:top w:val="none" w:sz="0" w:space="0" w:color="auto"/>
        <w:left w:val="none" w:sz="0" w:space="0" w:color="auto"/>
        <w:bottom w:val="none" w:sz="0" w:space="0" w:color="auto"/>
        <w:right w:val="none" w:sz="0" w:space="0" w:color="auto"/>
      </w:divBdr>
    </w:div>
    <w:div w:id="1235623637">
      <w:bodyDiv w:val="1"/>
      <w:marLeft w:val="0"/>
      <w:marRight w:val="0"/>
      <w:marTop w:val="0"/>
      <w:marBottom w:val="0"/>
      <w:divBdr>
        <w:top w:val="none" w:sz="0" w:space="0" w:color="auto"/>
        <w:left w:val="none" w:sz="0" w:space="0" w:color="auto"/>
        <w:bottom w:val="none" w:sz="0" w:space="0" w:color="auto"/>
        <w:right w:val="none" w:sz="0" w:space="0" w:color="auto"/>
      </w:divBdr>
    </w:div>
    <w:div w:id="1484396057">
      <w:bodyDiv w:val="1"/>
      <w:marLeft w:val="0"/>
      <w:marRight w:val="0"/>
      <w:marTop w:val="0"/>
      <w:marBottom w:val="0"/>
      <w:divBdr>
        <w:top w:val="none" w:sz="0" w:space="0" w:color="auto"/>
        <w:left w:val="none" w:sz="0" w:space="0" w:color="auto"/>
        <w:bottom w:val="none" w:sz="0" w:space="0" w:color="auto"/>
        <w:right w:val="none" w:sz="0" w:space="0" w:color="auto"/>
      </w:divBdr>
    </w:div>
    <w:div w:id="1515920421">
      <w:bodyDiv w:val="1"/>
      <w:marLeft w:val="0"/>
      <w:marRight w:val="0"/>
      <w:marTop w:val="0"/>
      <w:marBottom w:val="0"/>
      <w:divBdr>
        <w:top w:val="none" w:sz="0" w:space="0" w:color="auto"/>
        <w:left w:val="none" w:sz="0" w:space="0" w:color="auto"/>
        <w:bottom w:val="none" w:sz="0" w:space="0" w:color="auto"/>
        <w:right w:val="none" w:sz="0" w:space="0" w:color="auto"/>
      </w:divBdr>
    </w:div>
    <w:div w:id="1574048377">
      <w:bodyDiv w:val="1"/>
      <w:marLeft w:val="0"/>
      <w:marRight w:val="0"/>
      <w:marTop w:val="0"/>
      <w:marBottom w:val="0"/>
      <w:divBdr>
        <w:top w:val="none" w:sz="0" w:space="0" w:color="auto"/>
        <w:left w:val="none" w:sz="0" w:space="0" w:color="auto"/>
        <w:bottom w:val="none" w:sz="0" w:space="0" w:color="auto"/>
        <w:right w:val="none" w:sz="0" w:space="0" w:color="auto"/>
      </w:divBdr>
    </w:div>
    <w:div w:id="1590113173">
      <w:bodyDiv w:val="1"/>
      <w:marLeft w:val="0"/>
      <w:marRight w:val="0"/>
      <w:marTop w:val="0"/>
      <w:marBottom w:val="0"/>
      <w:divBdr>
        <w:top w:val="none" w:sz="0" w:space="0" w:color="auto"/>
        <w:left w:val="none" w:sz="0" w:space="0" w:color="auto"/>
        <w:bottom w:val="none" w:sz="0" w:space="0" w:color="auto"/>
        <w:right w:val="none" w:sz="0" w:space="0" w:color="auto"/>
      </w:divBdr>
    </w:div>
    <w:div w:id="1736197247">
      <w:bodyDiv w:val="1"/>
      <w:marLeft w:val="0"/>
      <w:marRight w:val="0"/>
      <w:marTop w:val="0"/>
      <w:marBottom w:val="0"/>
      <w:divBdr>
        <w:top w:val="none" w:sz="0" w:space="0" w:color="auto"/>
        <w:left w:val="none" w:sz="0" w:space="0" w:color="auto"/>
        <w:bottom w:val="none" w:sz="0" w:space="0" w:color="auto"/>
        <w:right w:val="none" w:sz="0" w:space="0" w:color="auto"/>
      </w:divBdr>
    </w:div>
    <w:div w:id="1885672785">
      <w:bodyDiv w:val="1"/>
      <w:marLeft w:val="0"/>
      <w:marRight w:val="0"/>
      <w:marTop w:val="0"/>
      <w:marBottom w:val="0"/>
      <w:divBdr>
        <w:top w:val="none" w:sz="0" w:space="0" w:color="auto"/>
        <w:left w:val="none" w:sz="0" w:space="0" w:color="auto"/>
        <w:bottom w:val="none" w:sz="0" w:space="0" w:color="auto"/>
        <w:right w:val="none" w:sz="0" w:space="0" w:color="auto"/>
      </w:divBdr>
    </w:div>
    <w:div w:id="1887714434">
      <w:bodyDiv w:val="1"/>
      <w:marLeft w:val="0"/>
      <w:marRight w:val="0"/>
      <w:marTop w:val="0"/>
      <w:marBottom w:val="0"/>
      <w:divBdr>
        <w:top w:val="none" w:sz="0" w:space="0" w:color="auto"/>
        <w:left w:val="none" w:sz="0" w:space="0" w:color="auto"/>
        <w:bottom w:val="none" w:sz="0" w:space="0" w:color="auto"/>
        <w:right w:val="none" w:sz="0" w:space="0" w:color="auto"/>
      </w:divBdr>
    </w:div>
    <w:div w:id="2069455127">
      <w:bodyDiv w:val="1"/>
      <w:marLeft w:val="0"/>
      <w:marRight w:val="0"/>
      <w:marTop w:val="0"/>
      <w:marBottom w:val="0"/>
      <w:divBdr>
        <w:top w:val="none" w:sz="0" w:space="0" w:color="auto"/>
        <w:left w:val="none" w:sz="0" w:space="0" w:color="auto"/>
        <w:bottom w:val="none" w:sz="0" w:space="0" w:color="auto"/>
        <w:right w:val="none" w:sz="0" w:space="0" w:color="auto"/>
      </w:divBdr>
    </w:div>
    <w:div w:id="21202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us-mainburg@th-deg.de" TargetMode="External"/><Relationship Id="rId3" Type="http://schemas.openxmlformats.org/officeDocument/2006/relationships/styles" Target="styles.xml"/><Relationship Id="rId7" Type="http://schemas.openxmlformats.org/officeDocument/2006/relationships/hyperlink" Target="http://www.th-deg.de/campus-mainbu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9FC3-8DF2-49A0-890A-89EEE5B8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5540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Vorlage</dc:creator>
  <cp:lastModifiedBy>Jörg Kunz</cp:lastModifiedBy>
  <cp:revision>5</cp:revision>
  <cp:lastPrinted>2016-09-28T13:11:00Z</cp:lastPrinted>
  <dcterms:created xsi:type="dcterms:W3CDTF">2026-01-30T10:11:00Z</dcterms:created>
  <dcterms:modified xsi:type="dcterms:W3CDTF">2026-01-30T10:19:00Z</dcterms:modified>
</cp:coreProperties>
</file>