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9E04D" w14:textId="77777777" w:rsidR="002D109E" w:rsidRDefault="0060566A">
      <w:pPr>
        <w:jc w:val="right"/>
        <w:rPr>
          <w:rFonts w:ascii="Saira" w:hAnsi="Saira"/>
          <w:b/>
          <w:bCs/>
          <w:color w:val="7F7F7F"/>
          <w:sz w:val="44"/>
          <w:szCs w:val="44"/>
        </w:rPr>
      </w:pPr>
      <w:r>
        <w:rPr>
          <w:noProof/>
        </w:rPr>
        <w:drawing>
          <wp:inline distT="0" distB="0" distL="0" distR="0" wp14:anchorId="2FFC09B3" wp14:editId="730CDE4F">
            <wp:extent cx="2901315" cy="629920"/>
            <wp:effectExtent l="0" t="0" r="0" b="0"/>
            <wp:docPr id="1" name="Grafik 1" descr="V:\allgemein\Vorlagen\Kommunikation und Marketing\Logos\THD_DIT\THD-Logo_gr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V:\allgemein\Vorlagen\Kommunikation und Marketing\Logos\THD_DIT\THD-Logo_grau.png"/>
                    <pic:cNvPicPr>
                      <a:picLocks noChangeAspect="1" noChangeArrowheads="1"/>
                    </pic:cNvPicPr>
                  </pic:nvPicPr>
                  <pic:blipFill>
                    <a:blip r:embed="rId4"/>
                    <a:stretch>
                      <a:fillRect/>
                    </a:stretch>
                  </pic:blipFill>
                  <pic:spPr bwMode="auto">
                    <a:xfrm>
                      <a:off x="0" y="0"/>
                      <a:ext cx="2901315" cy="629920"/>
                    </a:xfrm>
                    <a:prstGeom prst="rect">
                      <a:avLst/>
                    </a:prstGeom>
                  </pic:spPr>
                </pic:pic>
              </a:graphicData>
            </a:graphic>
          </wp:inline>
        </w:drawing>
      </w:r>
    </w:p>
    <w:p w14:paraId="6DBE9B59" w14:textId="77777777" w:rsidR="002D109E" w:rsidRDefault="002D109E">
      <w:pPr>
        <w:jc w:val="right"/>
        <w:rPr>
          <w:rFonts w:ascii="Saira" w:hAnsi="Saira"/>
          <w:b/>
          <w:bCs/>
          <w:color w:val="7F7F7F"/>
          <w:sz w:val="44"/>
          <w:szCs w:val="44"/>
        </w:rPr>
      </w:pPr>
    </w:p>
    <w:p w14:paraId="445A9A12" w14:textId="77777777" w:rsidR="002D109E" w:rsidRDefault="002D109E">
      <w:pPr>
        <w:rPr>
          <w:rFonts w:ascii="Saira" w:hAnsi="Saira"/>
          <w:b/>
          <w:bCs/>
          <w:color w:val="7F7F7F"/>
          <w:sz w:val="44"/>
          <w:szCs w:val="44"/>
        </w:rPr>
      </w:pPr>
    </w:p>
    <w:p w14:paraId="62D57E60" w14:textId="77777777" w:rsidR="002D109E" w:rsidRDefault="0060566A">
      <w:pPr>
        <w:rPr>
          <w:rFonts w:ascii="Saira" w:hAnsi="Saira"/>
          <w:b/>
          <w:bCs/>
          <w:color w:val="7F7F7F"/>
          <w:sz w:val="44"/>
          <w:szCs w:val="44"/>
        </w:rPr>
      </w:pPr>
      <w:r>
        <w:rPr>
          <w:rFonts w:ascii="Saira" w:hAnsi="Saira"/>
          <w:b/>
          <w:bCs/>
          <w:color w:val="7F7F7F"/>
          <w:sz w:val="44"/>
          <w:szCs w:val="44"/>
        </w:rPr>
        <w:t>Pressemitteilung</w:t>
      </w:r>
    </w:p>
    <w:p w14:paraId="335E20E9" w14:textId="77777777" w:rsidR="002D109E" w:rsidRDefault="002D109E">
      <w:pPr>
        <w:rPr>
          <w:rFonts w:ascii="Saira" w:hAnsi="Saira"/>
        </w:rPr>
      </w:pPr>
    </w:p>
    <w:p w14:paraId="3D216409" w14:textId="3D742A39" w:rsidR="002D109E" w:rsidRDefault="0060566A">
      <w:pPr>
        <w:rPr>
          <w:rFonts w:ascii="Saira" w:hAnsi="Saira"/>
          <w:sz w:val="20"/>
          <w:szCs w:val="20"/>
        </w:rPr>
      </w:pPr>
      <w:r>
        <w:rPr>
          <w:rFonts w:ascii="Saira" w:hAnsi="Saira"/>
          <w:sz w:val="20"/>
          <w:szCs w:val="20"/>
        </w:rPr>
        <w:t>[</w:t>
      </w:r>
      <w:r w:rsidR="00D952D2">
        <w:rPr>
          <w:rFonts w:ascii="Saira" w:hAnsi="Saira"/>
          <w:sz w:val="20"/>
          <w:szCs w:val="20"/>
        </w:rPr>
        <w:t>3</w:t>
      </w:r>
      <w:r>
        <w:rPr>
          <w:rFonts w:ascii="Saira" w:hAnsi="Saira"/>
          <w:sz w:val="20"/>
          <w:szCs w:val="20"/>
        </w:rPr>
        <w:t>.</w:t>
      </w:r>
      <w:r w:rsidR="00D952D2">
        <w:rPr>
          <w:rFonts w:ascii="Saira" w:hAnsi="Saira"/>
          <w:sz w:val="20"/>
          <w:szCs w:val="20"/>
        </w:rPr>
        <w:t>730</w:t>
      </w:r>
      <w:r>
        <w:rPr>
          <w:rFonts w:ascii="Saira" w:hAnsi="Saira"/>
          <w:sz w:val="20"/>
          <w:szCs w:val="20"/>
        </w:rPr>
        <w:t xml:space="preserve"> inklusive Leerzeichen]</w:t>
      </w:r>
    </w:p>
    <w:p w14:paraId="45077B7F" w14:textId="77777777" w:rsidR="002D109E" w:rsidRDefault="002D109E">
      <w:pPr>
        <w:rPr>
          <w:rFonts w:ascii="Saira" w:hAnsi="Saira"/>
        </w:rPr>
      </w:pPr>
    </w:p>
    <w:p w14:paraId="4B1982E4" w14:textId="6C28EC7E" w:rsidR="002D109E" w:rsidRDefault="00640D5B">
      <w:pPr>
        <w:rPr>
          <w:rFonts w:ascii="Saira" w:hAnsi="Saira"/>
        </w:rPr>
      </w:pPr>
      <w:r>
        <w:rPr>
          <w:rFonts w:ascii="Saira" w:hAnsi="Saira"/>
        </w:rPr>
        <w:t>10</w:t>
      </w:r>
      <w:r w:rsidR="0060566A">
        <w:rPr>
          <w:rFonts w:ascii="Saira" w:hAnsi="Saira"/>
        </w:rPr>
        <w:t>.07.2026 | Deggendorf/Prag</w:t>
      </w:r>
    </w:p>
    <w:p w14:paraId="2CBF30CF" w14:textId="77777777" w:rsidR="002D109E" w:rsidRDefault="002D109E">
      <w:pPr>
        <w:rPr>
          <w:rFonts w:ascii="Saira" w:hAnsi="Saira"/>
        </w:rPr>
      </w:pPr>
    </w:p>
    <w:p w14:paraId="3DC02FB8" w14:textId="77777777" w:rsidR="002D109E" w:rsidRDefault="0060566A">
      <w:pPr>
        <w:rPr>
          <w:rFonts w:ascii="Saira" w:eastAsia="Times New Roman" w:hAnsi="Saira"/>
          <w:b/>
          <w:bCs/>
          <w:sz w:val="28"/>
          <w:szCs w:val="28"/>
          <w:lang w:eastAsia="de-DE"/>
        </w:rPr>
      </w:pPr>
      <w:bookmarkStart w:id="0" w:name="_Hlk215493036"/>
      <w:r>
        <w:rPr>
          <w:rFonts w:ascii="Saira" w:eastAsia="Times New Roman" w:hAnsi="Saira"/>
          <w:b/>
          <w:bCs/>
          <w:sz w:val="28"/>
          <w:szCs w:val="28"/>
          <w:lang w:eastAsia="de-DE"/>
        </w:rPr>
        <w:t>„RENvolveIT“ besteht ersten Test</w:t>
      </w:r>
    </w:p>
    <w:p w14:paraId="10F37A5E" w14:textId="77777777" w:rsidR="002D109E" w:rsidRDefault="0060566A">
      <w:pPr>
        <w:rPr>
          <w:rFonts w:ascii="Saira" w:eastAsia="Times New Roman" w:hAnsi="Saira"/>
          <w:b/>
          <w:bCs/>
          <w:sz w:val="24"/>
          <w:szCs w:val="24"/>
          <w:lang w:eastAsia="de-DE"/>
        </w:rPr>
      </w:pPr>
      <w:r>
        <w:rPr>
          <w:rFonts w:ascii="Saira" w:eastAsia="Times New Roman" w:hAnsi="Saira"/>
          <w:b/>
          <w:bCs/>
          <w:sz w:val="24"/>
          <w:szCs w:val="24"/>
          <w:lang w:eastAsia="de-DE"/>
        </w:rPr>
        <w:t>Viertes Projekt-Konsortium trifft sich in Prag</w:t>
      </w:r>
    </w:p>
    <w:p w14:paraId="67AA176D" w14:textId="77777777" w:rsidR="002D109E" w:rsidRDefault="002D109E">
      <w:pPr>
        <w:rPr>
          <w:rFonts w:ascii="Saira" w:hAnsi="Saira"/>
          <w:sz w:val="24"/>
          <w:szCs w:val="24"/>
        </w:rPr>
      </w:pPr>
    </w:p>
    <w:p w14:paraId="0351A20B" w14:textId="2E67A54C" w:rsidR="002D109E" w:rsidRDefault="0060566A">
      <w:pPr>
        <w:rPr>
          <w:rFonts w:ascii="Saira" w:hAnsi="Saira"/>
          <w:sz w:val="24"/>
          <w:szCs w:val="24"/>
        </w:rPr>
      </w:pPr>
      <w:r>
        <w:rPr>
          <w:rFonts w:ascii="Saira" w:hAnsi="Saira"/>
          <w:sz w:val="24"/>
          <w:szCs w:val="24"/>
        </w:rPr>
        <w:t xml:space="preserve">Ende Juni fand in Prag das vierte Treffen des an der Technischen Hochschule Deggendorf (THD) entstandenen „RENvolveIT“-Konsortiums statt. Ziel des </w:t>
      </w:r>
      <w:r w:rsidR="00061224">
        <w:rPr>
          <w:rFonts w:ascii="Saira" w:hAnsi="Saira"/>
          <w:sz w:val="24"/>
          <w:szCs w:val="24"/>
        </w:rPr>
        <w:t xml:space="preserve">jährlich stattfindenden </w:t>
      </w:r>
      <w:r>
        <w:rPr>
          <w:rFonts w:ascii="Saira" w:hAnsi="Saira"/>
          <w:sz w:val="24"/>
          <w:szCs w:val="24"/>
        </w:rPr>
        <w:t xml:space="preserve">Treffens war es, </w:t>
      </w:r>
      <w:r w:rsidR="00061224">
        <w:rPr>
          <w:rFonts w:ascii="Saira" w:hAnsi="Saira"/>
          <w:sz w:val="24"/>
          <w:szCs w:val="24"/>
        </w:rPr>
        <w:t>die nächsten Schritte bezüglich der Entwicklung einer Toolbox zu besprechen. Diese unterstützt Energiegemeinschaften mit spezifischer Software für ihre Finanzierung, Planung und Ausführung.</w:t>
      </w:r>
      <w:r>
        <w:rPr>
          <w:rFonts w:ascii="Saira" w:hAnsi="Saira"/>
          <w:sz w:val="24"/>
          <w:szCs w:val="24"/>
        </w:rPr>
        <w:t xml:space="preserve"> Rund zwanzig Forschende, Entwicklerinnen und Entwickler sowie Vertretende von Energiegemeinschaften aus Deutschland, Tschechien, Niederlande und Österreich nahmen teil - darunter auch Projektleiter Prof. Dr. Javier Valdes vo</w:t>
      </w:r>
      <w:r w:rsidR="00061224">
        <w:rPr>
          <w:rFonts w:ascii="Saira" w:hAnsi="Saira"/>
          <w:sz w:val="24"/>
          <w:szCs w:val="24"/>
        </w:rPr>
        <w:t xml:space="preserve">n der Fakultät Angewandte Informatik </w:t>
      </w:r>
      <w:r>
        <w:rPr>
          <w:rFonts w:ascii="Saira" w:hAnsi="Saira"/>
          <w:sz w:val="24"/>
          <w:szCs w:val="24"/>
        </w:rPr>
        <w:t xml:space="preserve">der THD. </w:t>
      </w:r>
    </w:p>
    <w:p w14:paraId="6DC2339F" w14:textId="77777777" w:rsidR="002D109E" w:rsidRDefault="002D109E">
      <w:pPr>
        <w:rPr>
          <w:rFonts w:ascii="Saira" w:hAnsi="Saira"/>
          <w:sz w:val="24"/>
          <w:szCs w:val="24"/>
        </w:rPr>
      </w:pPr>
    </w:p>
    <w:p w14:paraId="3A2FE88D" w14:textId="22179664" w:rsidR="009F3368" w:rsidRDefault="0060566A">
      <w:pPr>
        <w:rPr>
          <w:rFonts w:ascii="Saira" w:hAnsi="Saira"/>
          <w:sz w:val="24"/>
          <w:szCs w:val="24"/>
        </w:rPr>
      </w:pPr>
      <w:r>
        <w:rPr>
          <w:rFonts w:ascii="Saira" w:hAnsi="Saira"/>
          <w:sz w:val="24"/>
          <w:szCs w:val="24"/>
        </w:rPr>
        <w:t xml:space="preserve">Der Zeitpunkt war bewusst gewählt: In Prag </w:t>
      </w:r>
      <w:r w:rsidRPr="00640D5B">
        <w:rPr>
          <w:rFonts w:ascii="Saira" w:hAnsi="Saira"/>
          <w:sz w:val="24"/>
          <w:szCs w:val="24"/>
        </w:rPr>
        <w:t>gab es nach Abschluss der ersten Testrunde die Gelegenheit, die Toolbox</w:t>
      </w:r>
      <w:r w:rsidR="00640D5B">
        <w:rPr>
          <w:rFonts w:ascii="Saira" w:hAnsi="Saira"/>
          <w:sz w:val="24"/>
          <w:szCs w:val="24"/>
        </w:rPr>
        <w:t xml:space="preserve"> Prototype</w:t>
      </w:r>
      <w:r w:rsidRPr="00640D5B">
        <w:rPr>
          <w:rFonts w:ascii="Saira" w:hAnsi="Saira"/>
          <w:sz w:val="24"/>
          <w:szCs w:val="24"/>
        </w:rPr>
        <w:t xml:space="preserve"> gemeinsam zu überprüfen und das</w:t>
      </w:r>
      <w:r w:rsidR="00640D5B">
        <w:rPr>
          <w:rFonts w:ascii="Saira" w:hAnsi="Saira"/>
          <w:sz w:val="24"/>
          <w:szCs w:val="24"/>
        </w:rPr>
        <w:t xml:space="preserve"> Konzept </w:t>
      </w:r>
      <w:r w:rsidRPr="00640D5B">
        <w:rPr>
          <w:rFonts w:ascii="Saira" w:hAnsi="Saira"/>
          <w:sz w:val="24"/>
          <w:szCs w:val="24"/>
        </w:rPr>
        <w:t>weiter zu gestalten. Besagte Toolbox</w:t>
      </w:r>
      <w:r>
        <w:rPr>
          <w:rFonts w:ascii="Saira" w:hAnsi="Saira"/>
          <w:sz w:val="24"/>
          <w:szCs w:val="24"/>
        </w:rPr>
        <w:t xml:space="preserve"> ist nicht etwa ein klassischer Werkzeugkasten mit Hammer und Schraubenzieher. </w:t>
      </w:r>
      <w:r w:rsidR="00CF0288">
        <w:rPr>
          <w:rFonts w:ascii="Saira" w:hAnsi="Saira"/>
          <w:sz w:val="24"/>
          <w:szCs w:val="24"/>
        </w:rPr>
        <w:t>„</w:t>
      </w:r>
      <w:r>
        <w:rPr>
          <w:rFonts w:ascii="Saira" w:hAnsi="Saira"/>
          <w:sz w:val="24"/>
          <w:szCs w:val="24"/>
        </w:rPr>
        <w:t xml:space="preserve">Die von uns bereitgestellten Werkzeuge sind </w:t>
      </w:r>
      <w:r w:rsidR="00061224">
        <w:rPr>
          <w:rFonts w:ascii="Saira" w:hAnsi="Saira"/>
          <w:sz w:val="24"/>
          <w:szCs w:val="24"/>
        </w:rPr>
        <w:t>wichtig für Bürgerenergiegesellschaften</w:t>
      </w:r>
      <w:r>
        <w:rPr>
          <w:rFonts w:ascii="Saira" w:hAnsi="Saira"/>
          <w:sz w:val="24"/>
          <w:szCs w:val="24"/>
        </w:rPr>
        <w:t>“, erklärt Professor Valdes.</w:t>
      </w:r>
      <w:r w:rsidR="00061224">
        <w:rPr>
          <w:rFonts w:ascii="Saira" w:hAnsi="Saira"/>
          <w:sz w:val="24"/>
          <w:szCs w:val="24"/>
        </w:rPr>
        <w:t xml:space="preserve"> </w:t>
      </w:r>
      <w:r w:rsidR="00CF0288">
        <w:rPr>
          <w:rFonts w:ascii="Saira" w:hAnsi="Saira"/>
          <w:sz w:val="24"/>
          <w:szCs w:val="24"/>
        </w:rPr>
        <w:t xml:space="preserve">Besagte </w:t>
      </w:r>
      <w:r w:rsidR="00E855C5">
        <w:rPr>
          <w:rFonts w:ascii="Saira" w:hAnsi="Saira"/>
          <w:sz w:val="24"/>
          <w:szCs w:val="24"/>
        </w:rPr>
        <w:t xml:space="preserve">Gesellschaften </w:t>
      </w:r>
      <w:r w:rsidR="00E855C5" w:rsidRPr="00E855C5">
        <w:rPr>
          <w:rFonts w:ascii="Saira" w:hAnsi="Saira"/>
          <w:sz w:val="24"/>
          <w:szCs w:val="24"/>
        </w:rPr>
        <w:t>sind Zusammenschlüsse von Personen, die gemeinschaftlich erneuerbare Energie erzeugen und den Ausbau von </w:t>
      </w:r>
      <w:r w:rsidR="00E855C5">
        <w:rPr>
          <w:rFonts w:ascii="Saira" w:hAnsi="Saira"/>
          <w:sz w:val="24"/>
          <w:szCs w:val="24"/>
        </w:rPr>
        <w:t>erneuerbaren Energie</w:t>
      </w:r>
      <w:r w:rsidR="00E855C5" w:rsidRPr="00E855C5">
        <w:rPr>
          <w:rFonts w:ascii="Saira" w:hAnsi="Saira"/>
          <w:sz w:val="24"/>
          <w:szCs w:val="24"/>
        </w:rPr>
        <w:t>-Anlagen vorantreiben. Dieser zivilgesellschaftliche Beitrag zur Energiewende wird in vielfältiger Weise vom Staat unterstützt.</w:t>
      </w:r>
    </w:p>
    <w:p w14:paraId="4E433A5F" w14:textId="14F45D4F" w:rsidR="002D109E" w:rsidRDefault="00E855C5">
      <w:pPr>
        <w:rPr>
          <w:rFonts w:ascii="Saira" w:hAnsi="Saira"/>
          <w:sz w:val="24"/>
          <w:szCs w:val="24"/>
        </w:rPr>
      </w:pPr>
      <w:r>
        <w:rPr>
          <w:rFonts w:ascii="Saira" w:hAnsi="Saira"/>
          <w:sz w:val="24"/>
          <w:szCs w:val="24"/>
        </w:rPr>
        <w:t>Bei Valdes‘ Werkzeugkasten handelt es sich in diesem Zusammenhang</w:t>
      </w:r>
      <w:r w:rsidR="0060566A">
        <w:rPr>
          <w:rFonts w:ascii="Saira" w:hAnsi="Saira"/>
          <w:sz w:val="24"/>
          <w:szCs w:val="24"/>
        </w:rPr>
        <w:t xml:space="preserve"> um Module, die eine optimale Kombination aus unterschiedlichen Energiequellen und in den Gemeinschaften vorhandenen Speichern</w:t>
      </w:r>
      <w:r w:rsidR="009F3368">
        <w:rPr>
          <w:rFonts w:ascii="Saira" w:hAnsi="Saira"/>
          <w:sz w:val="24"/>
          <w:szCs w:val="24"/>
        </w:rPr>
        <w:t xml:space="preserve"> auf Nachbarschaftsebene</w:t>
      </w:r>
      <w:r w:rsidR="0060566A">
        <w:rPr>
          <w:rFonts w:ascii="Saira" w:hAnsi="Saira"/>
          <w:sz w:val="24"/>
          <w:szCs w:val="24"/>
        </w:rPr>
        <w:t xml:space="preserve"> </w:t>
      </w:r>
      <w:r w:rsidR="0060566A">
        <w:rPr>
          <w:rFonts w:ascii="Saira" w:hAnsi="Saira"/>
          <w:sz w:val="24"/>
          <w:szCs w:val="24"/>
        </w:rPr>
        <w:lastRenderedPageBreak/>
        <w:t xml:space="preserve">berechnen könnten. </w:t>
      </w:r>
      <w:r w:rsidR="009F3368">
        <w:rPr>
          <w:rFonts w:ascii="Saira" w:hAnsi="Saira"/>
          <w:sz w:val="24"/>
          <w:szCs w:val="24"/>
        </w:rPr>
        <w:t xml:space="preserve">Dies ermöglicht die gemeinsame Nutzung von vorhandenen Netzen auf optimale Weise, was wiederum die Belastung </w:t>
      </w:r>
      <w:r w:rsidR="00CF0288">
        <w:rPr>
          <w:rFonts w:ascii="Saira" w:hAnsi="Saira"/>
          <w:sz w:val="24"/>
          <w:szCs w:val="24"/>
        </w:rPr>
        <w:t>letzterer</w:t>
      </w:r>
      <w:r w:rsidR="009F3368">
        <w:rPr>
          <w:rFonts w:ascii="Saira" w:hAnsi="Saira"/>
          <w:sz w:val="24"/>
          <w:szCs w:val="24"/>
        </w:rPr>
        <w:t xml:space="preserve"> minimiert.</w:t>
      </w:r>
      <w:r w:rsidR="00CF0288">
        <w:rPr>
          <w:rFonts w:ascii="Saira" w:hAnsi="Saira"/>
          <w:sz w:val="24"/>
          <w:szCs w:val="24"/>
        </w:rPr>
        <w:t xml:space="preserve"> Weitere Anwendungsfälle sind beispielsweise </w:t>
      </w:r>
      <w:r w:rsidR="0060566A">
        <w:rPr>
          <w:rFonts w:ascii="Saira" w:hAnsi="Saira"/>
          <w:sz w:val="24"/>
          <w:szCs w:val="24"/>
        </w:rPr>
        <w:t>Integrationswerkzeuge zur Vernetzung der Ladestationen für Elektrofahrzeuge mit Wärmepumpen und intelligenten Zählern in den jeweiligen Ge</w:t>
      </w:r>
      <w:r w:rsidR="006B2494">
        <w:rPr>
          <w:rFonts w:ascii="Saira" w:hAnsi="Saira"/>
          <w:sz w:val="24"/>
          <w:szCs w:val="24"/>
        </w:rPr>
        <w:t>bäuden</w:t>
      </w:r>
      <w:r w:rsidR="0060566A">
        <w:rPr>
          <w:rFonts w:ascii="Saira" w:hAnsi="Saira"/>
          <w:sz w:val="24"/>
          <w:szCs w:val="24"/>
        </w:rPr>
        <w:t>.</w:t>
      </w:r>
    </w:p>
    <w:p w14:paraId="042336BE" w14:textId="77777777" w:rsidR="002D109E" w:rsidRDefault="002D109E">
      <w:pPr>
        <w:rPr>
          <w:rFonts w:ascii="Saira" w:hAnsi="Saira"/>
          <w:b/>
          <w:bCs/>
          <w:sz w:val="24"/>
          <w:szCs w:val="24"/>
        </w:rPr>
      </w:pPr>
    </w:p>
    <w:p w14:paraId="55F7BD89" w14:textId="27228151" w:rsidR="002D109E" w:rsidRDefault="00E855C5">
      <w:pPr>
        <w:rPr>
          <w:rFonts w:ascii="Saira" w:hAnsi="Saira"/>
          <w:sz w:val="24"/>
          <w:szCs w:val="24"/>
        </w:rPr>
      </w:pPr>
      <w:r>
        <w:rPr>
          <w:rFonts w:ascii="Saira" w:hAnsi="Saira"/>
          <w:sz w:val="24"/>
          <w:szCs w:val="24"/>
        </w:rPr>
        <w:t xml:space="preserve">Zusätzlich zu den Testverfahren in Niederlande, Wien oder Köln </w:t>
      </w:r>
      <w:r w:rsidR="00903C98">
        <w:rPr>
          <w:rFonts w:ascii="Saira" w:hAnsi="Saira"/>
          <w:sz w:val="24"/>
          <w:szCs w:val="24"/>
        </w:rPr>
        <w:t xml:space="preserve">nahmen in diesem </w:t>
      </w:r>
      <w:r w:rsidR="0060566A">
        <w:rPr>
          <w:rFonts w:ascii="Saira" w:hAnsi="Saira"/>
          <w:sz w:val="24"/>
          <w:szCs w:val="24"/>
        </w:rPr>
        <w:t xml:space="preserve">Frühjahr vier tschechische Energiegemeinschaften an einer Reihe interaktiver Workshops teil – sowohl vor Ort in Prag als auch online –, um die verschiedenen Bausteine der „RENvolveIT“-Toolbox zu testen. Es war das erste Mal, dass echte Nutzer praktischen Zugang zu allen geplanten Modulen erhielten. Die Reaktionen auf die Module waren ermutigend, wenn auch noch verhalten. Alle Tools konnten dennoch auch in der Prototyp-Phase mit ihrem Potenzial überzeugen. </w:t>
      </w:r>
    </w:p>
    <w:p w14:paraId="1C2F188C" w14:textId="77777777" w:rsidR="002D109E" w:rsidRDefault="002D109E">
      <w:pPr>
        <w:rPr>
          <w:rFonts w:ascii="Saira" w:hAnsi="Saira"/>
          <w:sz w:val="24"/>
          <w:szCs w:val="24"/>
        </w:rPr>
      </w:pPr>
    </w:p>
    <w:p w14:paraId="55CD7C4A" w14:textId="77777777" w:rsidR="002D109E" w:rsidRDefault="0060566A">
      <w:pPr>
        <w:rPr>
          <w:rFonts w:ascii="Saira" w:hAnsi="Saira"/>
          <w:b/>
          <w:bCs/>
          <w:sz w:val="24"/>
          <w:szCs w:val="24"/>
        </w:rPr>
      </w:pPr>
      <w:r>
        <w:rPr>
          <w:rFonts w:ascii="Saira" w:hAnsi="Saira"/>
          <w:b/>
          <w:bCs/>
          <w:sz w:val="24"/>
          <w:szCs w:val="24"/>
        </w:rPr>
        <w:t>Wie geht es weiter?</w:t>
      </w:r>
    </w:p>
    <w:p w14:paraId="4725FD05" w14:textId="77777777" w:rsidR="002D109E" w:rsidRDefault="002D109E">
      <w:pPr>
        <w:rPr>
          <w:rFonts w:ascii="Saira" w:hAnsi="Saira"/>
          <w:b/>
          <w:bCs/>
          <w:sz w:val="24"/>
          <w:szCs w:val="24"/>
        </w:rPr>
      </w:pPr>
    </w:p>
    <w:p w14:paraId="1768965D" w14:textId="159DE2D3" w:rsidR="002D109E" w:rsidRDefault="0060566A">
      <w:pPr>
        <w:rPr>
          <w:rFonts w:ascii="Saira" w:hAnsi="Saira"/>
          <w:sz w:val="24"/>
          <w:szCs w:val="24"/>
        </w:rPr>
      </w:pPr>
      <w:r>
        <w:rPr>
          <w:rFonts w:ascii="Saira" w:hAnsi="Saira"/>
          <w:sz w:val="24"/>
          <w:szCs w:val="24"/>
        </w:rPr>
        <w:t xml:space="preserve">Beim jüngsten Konsortium-Treffen verbrachten die internationalen Teilnehmenden </w:t>
      </w:r>
      <w:r w:rsidR="00903C98">
        <w:rPr>
          <w:rFonts w:ascii="Saira" w:hAnsi="Saira"/>
          <w:sz w:val="24"/>
          <w:szCs w:val="24"/>
        </w:rPr>
        <w:t>Tag</w:t>
      </w:r>
      <w:r>
        <w:rPr>
          <w:rFonts w:ascii="Saira" w:hAnsi="Saira"/>
          <w:sz w:val="24"/>
          <w:szCs w:val="24"/>
        </w:rPr>
        <w:t xml:space="preserve"> damit,</w:t>
      </w:r>
      <w:r w:rsidR="00903C98">
        <w:rPr>
          <w:rFonts w:ascii="Saira" w:hAnsi="Saira"/>
          <w:sz w:val="24"/>
          <w:szCs w:val="24"/>
        </w:rPr>
        <w:t xml:space="preserve"> Ideen zu entwickeln, Strategien zu verfeinern und Möglichkeiten auszuarbeiten, wie man das gesammelte Feedback bestmöglich in die individuellen Tools und Toolbox</w:t>
      </w:r>
      <w:r w:rsidR="00CF0288">
        <w:rPr>
          <w:rFonts w:ascii="Saira" w:hAnsi="Saira"/>
          <w:sz w:val="24"/>
          <w:szCs w:val="24"/>
        </w:rPr>
        <w:t xml:space="preserve"> zu integriere</w:t>
      </w:r>
      <w:r>
        <w:rPr>
          <w:rFonts w:ascii="Saira" w:hAnsi="Saira"/>
          <w:sz w:val="24"/>
          <w:szCs w:val="24"/>
        </w:rPr>
        <w:t xml:space="preserve">n. Nachmittags tauschten sie ihre Strategien für die Stromteilung und das Wachstum der </w:t>
      </w:r>
      <w:r w:rsidR="006B2494">
        <w:rPr>
          <w:rFonts w:ascii="Saira" w:hAnsi="Saira"/>
          <w:sz w:val="24"/>
          <w:szCs w:val="24"/>
        </w:rPr>
        <w:t>Energiegemeinschafte</w:t>
      </w:r>
      <w:r>
        <w:rPr>
          <w:rFonts w:ascii="Saira" w:hAnsi="Saira"/>
          <w:sz w:val="24"/>
          <w:szCs w:val="24"/>
        </w:rPr>
        <w:t xml:space="preserve">n aus. „Die </w:t>
      </w:r>
      <w:r w:rsidR="00CF0288">
        <w:rPr>
          <w:rFonts w:ascii="Saira" w:hAnsi="Saira"/>
          <w:sz w:val="24"/>
          <w:szCs w:val="24"/>
        </w:rPr>
        <w:t>getroffenen</w:t>
      </w:r>
      <w:r>
        <w:rPr>
          <w:rFonts w:ascii="Saira" w:hAnsi="Saira"/>
          <w:sz w:val="24"/>
          <w:szCs w:val="24"/>
        </w:rPr>
        <w:t xml:space="preserve"> </w:t>
      </w:r>
      <w:r w:rsidR="006B2494">
        <w:rPr>
          <w:rFonts w:ascii="Saira" w:hAnsi="Saira"/>
          <w:sz w:val="24"/>
          <w:szCs w:val="24"/>
        </w:rPr>
        <w:t>Entscheidunge</w:t>
      </w:r>
      <w:r>
        <w:rPr>
          <w:rFonts w:ascii="Saira" w:hAnsi="Saira"/>
          <w:sz w:val="24"/>
          <w:szCs w:val="24"/>
        </w:rPr>
        <w:t>n werden jetzt direkt an die Entwicklungsteams in Deutschland, Österreich und den Niederlanden zurückgespielt</w:t>
      </w:r>
      <w:r w:rsidR="00CF0288">
        <w:rPr>
          <w:rFonts w:ascii="Saira" w:hAnsi="Saira"/>
          <w:sz w:val="24"/>
          <w:szCs w:val="24"/>
        </w:rPr>
        <w:t>, sodass die nächste Testphase pünktlich im September starten kann</w:t>
      </w:r>
      <w:r>
        <w:rPr>
          <w:rFonts w:ascii="Saira" w:hAnsi="Saira"/>
          <w:sz w:val="24"/>
          <w:szCs w:val="24"/>
        </w:rPr>
        <w:t xml:space="preserve">“, so der aktuelle Ausblick von Valdes für die kommenden Monate. Oberste Priorität habe dabei die zentrale Navigationsebene des Systems. „Damit meinen wir die Schnittstelle, über die die Nutzer je nach Stand </w:t>
      </w:r>
      <w:r w:rsidR="006B2494">
        <w:rPr>
          <w:rFonts w:ascii="Saira" w:hAnsi="Saira"/>
          <w:sz w:val="24"/>
          <w:szCs w:val="24"/>
        </w:rPr>
        <w:t>der</w:t>
      </w:r>
      <w:r>
        <w:rPr>
          <w:rFonts w:ascii="Saira" w:hAnsi="Saira"/>
          <w:sz w:val="24"/>
          <w:szCs w:val="24"/>
        </w:rPr>
        <w:t xml:space="preserve"> </w:t>
      </w:r>
      <w:r w:rsidR="006B2494">
        <w:rPr>
          <w:rFonts w:ascii="Saira" w:hAnsi="Saira"/>
          <w:sz w:val="24"/>
          <w:szCs w:val="24"/>
        </w:rPr>
        <w:t>Bürgerenergiegesellschaften</w:t>
      </w:r>
      <w:r>
        <w:rPr>
          <w:rFonts w:ascii="Saira" w:hAnsi="Saira"/>
          <w:sz w:val="24"/>
          <w:szCs w:val="24"/>
        </w:rPr>
        <w:t xml:space="preserve"> und deren aktuellen Bedürfnissen zwischen den verschiedenen Tools wechseln können“, sagt Luis Camargo, dessen Institute of Sustainable development an der Universität Utrecht, die Produkttests leitet. Workshops wie der in Prag sind für Camargo und Valdes ein entscheidendes Momentum. Denn einzig der Ansatz „echte Nutzer zu treffen und deren tatsächliche Bedürfnisse zu erkennen und im laufenden Betrieb zu verstehen“, könne den Erfolg des Projekts „RENvolveIT“ sicherstellen.</w:t>
      </w:r>
    </w:p>
    <w:p w14:paraId="225D36B1" w14:textId="77777777" w:rsidR="002D109E" w:rsidRDefault="002D109E">
      <w:pPr>
        <w:rPr>
          <w:rFonts w:ascii="Saira" w:hAnsi="Saira"/>
          <w:sz w:val="24"/>
          <w:szCs w:val="24"/>
        </w:rPr>
      </w:pPr>
    </w:p>
    <w:p w14:paraId="6D07F406" w14:textId="77777777" w:rsidR="002D109E" w:rsidRDefault="002D109E">
      <w:pPr>
        <w:rPr>
          <w:rFonts w:ascii="Saira" w:hAnsi="Saira"/>
          <w:b/>
          <w:bCs/>
          <w:sz w:val="18"/>
          <w:szCs w:val="18"/>
        </w:rPr>
      </w:pPr>
    </w:p>
    <w:p w14:paraId="65296E35" w14:textId="77777777" w:rsidR="002D109E" w:rsidRDefault="0060566A">
      <w:pPr>
        <w:rPr>
          <w:rFonts w:ascii="Saira" w:hAnsi="Saira"/>
          <w:sz w:val="18"/>
          <w:szCs w:val="18"/>
        </w:rPr>
      </w:pPr>
      <w:r>
        <w:rPr>
          <w:rFonts w:ascii="Saira" w:hAnsi="Saira"/>
          <w:b/>
          <w:bCs/>
          <w:sz w:val="18"/>
          <w:szCs w:val="18"/>
        </w:rPr>
        <w:t xml:space="preserve">Bild: </w:t>
      </w:r>
      <w:r>
        <w:rPr>
          <w:rFonts w:ascii="Saira" w:hAnsi="Saira"/>
          <w:sz w:val="18"/>
          <w:szCs w:val="18"/>
        </w:rPr>
        <w:t>Professor Valdes (2.v.r) freut sich über gute multinationale Zusammenarbeit für „RENvolveIT“.</w:t>
      </w:r>
      <w:bookmarkEnd w:id="0"/>
    </w:p>
    <w:p w14:paraId="0175D3FB" w14:textId="77777777" w:rsidR="002D109E" w:rsidRDefault="002D109E">
      <w:pPr>
        <w:rPr>
          <w:rFonts w:ascii="Saira" w:hAnsi="Saira"/>
          <w:sz w:val="18"/>
        </w:rPr>
      </w:pPr>
    </w:p>
    <w:p w14:paraId="2051E6CD" w14:textId="77777777" w:rsidR="002D109E" w:rsidRDefault="0060566A">
      <w:pPr>
        <w:rPr>
          <w:rFonts w:ascii="Saira" w:hAnsi="Saira"/>
          <w:b/>
          <w:bCs/>
          <w:sz w:val="18"/>
          <w:szCs w:val="18"/>
        </w:rPr>
      </w:pPr>
      <w:r>
        <w:rPr>
          <w:rFonts w:ascii="Saira" w:hAnsi="Saira"/>
          <w:sz w:val="18"/>
          <w:szCs w:val="18"/>
        </w:rPr>
        <w:t xml:space="preserve">Das Bild ist für die Medien zur Berichterstattung frei verwendbar, vorausgesetzt, bei der Verwendung wird deutlich sichtbar folgender Copyright-Hinweis angebracht: privat </w:t>
      </w:r>
    </w:p>
    <w:p w14:paraId="01101D2C" w14:textId="77777777" w:rsidR="002D109E" w:rsidRDefault="002D109E">
      <w:pPr>
        <w:spacing w:beforeAutospacing="1" w:afterAutospacing="1"/>
        <w:rPr>
          <w:rFonts w:ascii="Saira" w:hAnsi="Saira"/>
          <w:b/>
          <w:bCs/>
          <w:sz w:val="18"/>
          <w:szCs w:val="18"/>
        </w:rPr>
      </w:pPr>
    </w:p>
    <w:p w14:paraId="623BBFAA" w14:textId="77777777" w:rsidR="002D109E" w:rsidRDefault="0060566A">
      <w:pPr>
        <w:spacing w:beforeAutospacing="1" w:afterAutospacing="1"/>
        <w:rPr>
          <w:rFonts w:ascii="Saira" w:hAnsi="Saira"/>
          <w:b/>
          <w:bCs/>
          <w:sz w:val="18"/>
          <w:szCs w:val="18"/>
        </w:rPr>
      </w:pPr>
      <w:r>
        <w:rPr>
          <w:rFonts w:ascii="Saira" w:hAnsi="Saira"/>
          <w:b/>
          <w:bCs/>
          <w:sz w:val="18"/>
          <w:szCs w:val="18"/>
        </w:rPr>
        <w:t>Über die THD:</w:t>
      </w:r>
    </w:p>
    <w:p w14:paraId="2934D86E" w14:textId="77777777" w:rsidR="002D109E" w:rsidRDefault="0060566A">
      <w:pPr>
        <w:spacing w:beforeAutospacing="1" w:afterAutospacing="1"/>
        <w:rPr>
          <w:rFonts w:ascii="Saira" w:hAnsi="Saira"/>
          <w:sz w:val="18"/>
          <w:szCs w:val="18"/>
        </w:rPr>
      </w:pPr>
      <w:r>
        <w:rPr>
          <w:rFonts w:ascii="Saira" w:hAnsi="Saira"/>
          <w:sz w:val="18"/>
          <w:szCs w:val="18"/>
        </w:rPr>
        <w:t>Die Technische Hochschule Deggendorf (THD) wurde 1994 gegründet und hat den Anspruch, zu den innovativen Vorreitern in der bayerischen Hochschullandschaft zu zählen. Explizit das THD-Konzept der Technologietransferzentren und die damit einhergehende Regionalisierung von Forschung besitzt Vorbildcharakter. So hat die TH Deggendorf derzeit 16 Technologie Campi und gilt deshalb als eine der forschungsstärksten Hochschulen für Angewandte Wissenschaften in Bayern. Bei der Gestaltung des Transfers von Wissen und Technologie in die Gesellschaft sind Wirtschaft und Kommunen enge Partner der Hochschule. Das wissenschaftliche Profil der THD wird durch vier interdisziplinäre Forschungsschwerpunkte geprägt: “Digital Technologies“, “Sustainable Production &amp; Energy Technologies“, “Smart Materials“ sowie “Quality of Life &amp; Healthcare“.</w:t>
      </w:r>
    </w:p>
    <w:p w14:paraId="6B5FBE5D" w14:textId="77777777" w:rsidR="002D109E" w:rsidRDefault="0060566A">
      <w:pPr>
        <w:spacing w:beforeAutospacing="1" w:afterAutospacing="1"/>
        <w:rPr>
          <w:rFonts w:ascii="Saira" w:hAnsi="Saira"/>
          <w:sz w:val="18"/>
          <w:szCs w:val="18"/>
        </w:rPr>
      </w:pPr>
      <w:r>
        <w:rPr>
          <w:rFonts w:ascii="Saira" w:hAnsi="Saira"/>
          <w:sz w:val="18"/>
          <w:szCs w:val="18"/>
        </w:rPr>
        <w:t>Neben der Forschungsstärke sind Internationalisierung und Wachstum weitere Profilthemen der THD. Die Strategie 10.000+ hat sich zum Ziel gesetzt, bis 2030 eben diese Zahl an Studierenden an der THD zu haben. Derzeit sind über 9.500 junge Menschen an den drei Studienstandorten Deggendorf, Pfarrkirchen und Cham immatrikuliert. Etwa 50 Prozent davon sind internationale Studierende.</w:t>
      </w:r>
    </w:p>
    <w:p w14:paraId="5316DDC9" w14:textId="77777777" w:rsidR="002D109E" w:rsidRDefault="0060566A">
      <w:pPr>
        <w:spacing w:beforeAutospacing="1" w:afterAutospacing="1"/>
        <w:rPr>
          <w:rFonts w:ascii="Saira" w:hAnsi="Saira"/>
          <w:sz w:val="18"/>
          <w:szCs w:val="18"/>
        </w:rPr>
      </w:pPr>
      <w:r>
        <w:rPr>
          <w:rFonts w:ascii="Saira" w:hAnsi="Saira"/>
          <w:sz w:val="18"/>
          <w:szCs w:val="18"/>
        </w:rPr>
        <w:t>Die acht Fakultäten und das Zentrum für Akademische Weiterbildung bieten rund 100 verschiedene Bachelor- und Masterstudiengänge aus den Bereichen Wirtschaftswissenschaften, Ingenieurwissenschaften, Informatik, angewandte Naturwissenschaften sowie Gesundheitswissenschaften an. An der Fakultät European Campus Rottal-Inn (ECRI), werden international ausgerichtete Bachelor- und Masterstudiengänge in den Bereichen Gesundheitswissenschaften, Tourismus und Technik angeboten. Letzteres Thema gilt auch für den dritten Studienstandort der THD in Cham, wo es einen Bachelor und drei Masterstudiengänge gibt.</w:t>
      </w:r>
    </w:p>
    <w:p w14:paraId="2F47465B" w14:textId="77777777" w:rsidR="002D109E" w:rsidRDefault="0060566A">
      <w:pPr>
        <w:spacing w:beforeAutospacing="1" w:afterAutospacing="1"/>
      </w:pPr>
      <w:r>
        <w:rPr>
          <w:rFonts w:ascii="Saira" w:hAnsi="Saira"/>
          <w:sz w:val="18"/>
          <w:szCs w:val="18"/>
        </w:rPr>
        <w:t xml:space="preserve">Erfahren Sie mehr über uns: </w:t>
      </w:r>
      <w:hyperlink r:id="rId5">
        <w:r>
          <w:rPr>
            <w:rStyle w:val="Hyperlink"/>
            <w:rFonts w:ascii="Saira" w:hAnsi="Saira"/>
            <w:sz w:val="18"/>
            <w:szCs w:val="18"/>
          </w:rPr>
          <w:t>www.th-deg.de</w:t>
        </w:r>
      </w:hyperlink>
    </w:p>
    <w:p w14:paraId="5C62DED5" w14:textId="77777777" w:rsidR="002D109E" w:rsidRDefault="002D109E">
      <w:pPr>
        <w:rPr>
          <w:rFonts w:ascii="Saira" w:hAnsi="Saira"/>
          <w:sz w:val="18"/>
          <w:szCs w:val="18"/>
        </w:rPr>
      </w:pPr>
    </w:p>
    <w:p w14:paraId="580B800C" w14:textId="77777777" w:rsidR="002D109E" w:rsidRDefault="0060566A">
      <w:pPr>
        <w:rPr>
          <w:rFonts w:ascii="Saira" w:hAnsi="Saira"/>
          <w:b/>
          <w:bCs/>
          <w:sz w:val="18"/>
          <w:szCs w:val="18"/>
        </w:rPr>
      </w:pPr>
      <w:r>
        <w:rPr>
          <w:rFonts w:ascii="Saira" w:hAnsi="Saira"/>
          <w:b/>
          <w:bCs/>
          <w:sz w:val="18"/>
          <w:szCs w:val="18"/>
        </w:rPr>
        <w:t>Pressekontakt:</w:t>
      </w:r>
    </w:p>
    <w:p w14:paraId="4C3C3110" w14:textId="77777777" w:rsidR="002D109E" w:rsidRDefault="0060566A">
      <w:pPr>
        <w:rPr>
          <w:rFonts w:ascii="Saira" w:hAnsi="Saira"/>
          <w:sz w:val="18"/>
          <w:szCs w:val="18"/>
        </w:rPr>
      </w:pPr>
      <w:r>
        <w:rPr>
          <w:rFonts w:ascii="Saira" w:hAnsi="Saira"/>
          <w:sz w:val="18"/>
          <w:szCs w:val="18"/>
        </w:rPr>
        <w:t>Technische Hochschule Deggendorf</w:t>
      </w:r>
    </w:p>
    <w:p w14:paraId="3C331173" w14:textId="77777777" w:rsidR="002D109E" w:rsidRDefault="0060566A">
      <w:pPr>
        <w:rPr>
          <w:rFonts w:ascii="Saira" w:hAnsi="Saira"/>
          <w:sz w:val="18"/>
          <w:szCs w:val="18"/>
        </w:rPr>
      </w:pPr>
      <w:r>
        <w:rPr>
          <w:rFonts w:ascii="Saira" w:hAnsi="Saira"/>
          <w:sz w:val="18"/>
          <w:szCs w:val="18"/>
        </w:rPr>
        <w:t>Pressestelle</w:t>
      </w:r>
    </w:p>
    <w:p w14:paraId="0E312C11" w14:textId="77777777" w:rsidR="002D109E" w:rsidRDefault="0060566A">
      <w:pPr>
        <w:rPr>
          <w:rFonts w:ascii="Saira" w:hAnsi="Saira"/>
          <w:sz w:val="18"/>
          <w:szCs w:val="18"/>
        </w:rPr>
      </w:pPr>
      <w:r>
        <w:rPr>
          <w:rFonts w:ascii="Saira" w:hAnsi="Saira"/>
          <w:sz w:val="18"/>
          <w:szCs w:val="18"/>
        </w:rPr>
        <w:t>Dieter-Görlitz-Platz 1</w:t>
      </w:r>
    </w:p>
    <w:p w14:paraId="0F744000" w14:textId="77777777" w:rsidR="002D109E" w:rsidRDefault="0060566A">
      <w:pPr>
        <w:rPr>
          <w:rFonts w:ascii="Saira" w:hAnsi="Saira"/>
          <w:sz w:val="18"/>
          <w:szCs w:val="18"/>
        </w:rPr>
      </w:pPr>
      <w:r>
        <w:rPr>
          <w:rFonts w:ascii="Saira" w:hAnsi="Saira"/>
          <w:sz w:val="18"/>
          <w:szCs w:val="18"/>
        </w:rPr>
        <w:t>94469 Deggendorf</w:t>
      </w:r>
    </w:p>
    <w:p w14:paraId="79C7FFD6" w14:textId="77777777" w:rsidR="002D109E" w:rsidRDefault="0060566A">
      <w:pPr>
        <w:rPr>
          <w:rFonts w:ascii="Saira" w:hAnsi="Saira"/>
          <w:sz w:val="18"/>
          <w:szCs w:val="18"/>
        </w:rPr>
      </w:pPr>
      <w:hyperlink r:id="rId6">
        <w:r>
          <w:rPr>
            <w:rStyle w:val="Hyperlink"/>
            <w:rFonts w:ascii="Saira" w:hAnsi="Saira"/>
            <w:sz w:val="18"/>
            <w:szCs w:val="18"/>
          </w:rPr>
          <w:t>pressestelle@th-deg.de</w:t>
        </w:r>
      </w:hyperlink>
      <w:r>
        <w:rPr>
          <w:rFonts w:ascii="Saira" w:hAnsi="Saira"/>
          <w:sz w:val="18"/>
          <w:szCs w:val="18"/>
        </w:rPr>
        <w:t xml:space="preserve"> </w:t>
      </w:r>
    </w:p>
    <w:p w14:paraId="08AEABA8" w14:textId="77777777" w:rsidR="002D109E" w:rsidRDefault="002D109E">
      <w:pPr>
        <w:rPr>
          <w:rFonts w:ascii="Saira" w:hAnsi="Saira"/>
          <w:sz w:val="18"/>
        </w:rPr>
      </w:pPr>
    </w:p>
    <w:sectPr w:rsidR="002D109E">
      <w:pgSz w:w="11906" w:h="16838"/>
      <w:pgMar w:top="1417" w:right="1417" w:bottom="1134"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1"/>
    <w:family w:val="roman"/>
    <w:pitch w:val="variable"/>
  </w:font>
  <w:font w:name="Consolas">
    <w:panose1 w:val="020B0609020204030204"/>
    <w:charset w:val="01"/>
    <w:family w:val="roman"/>
    <w:pitch w:val="variable"/>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Saira">
    <w:panose1 w:val="00000500000000000000"/>
    <w:charset w:val="00"/>
    <w:family w:val="modern"/>
    <w:notTrueType/>
    <w:pitch w:val="variable"/>
    <w:sig w:usb0="2000000F" w:usb1="0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09E"/>
    <w:rsid w:val="00061224"/>
    <w:rsid w:val="00113542"/>
    <w:rsid w:val="002D109E"/>
    <w:rsid w:val="0060566A"/>
    <w:rsid w:val="00640D5B"/>
    <w:rsid w:val="006B2494"/>
    <w:rsid w:val="00903C98"/>
    <w:rsid w:val="009F3368"/>
    <w:rsid w:val="00CF0288"/>
    <w:rsid w:val="00D952D2"/>
    <w:rsid w:val="00E55D91"/>
    <w:rsid w:val="00E855C5"/>
    <w:rsid w:val="00F459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D08DB"/>
  <w15:docId w15:val="{C5F66F8D-7FFA-4127-9404-C680B176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0AB9"/>
    <w:rPr>
      <w:rFont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basedOn w:val="Absatz-Standardschriftart"/>
    <w:link w:val="Sprechblasentext"/>
    <w:uiPriority w:val="99"/>
    <w:semiHidden/>
    <w:qFormat/>
    <w:rsid w:val="0059189B"/>
    <w:rPr>
      <w:rFonts w:ascii="Tahoma" w:hAnsi="Tahoma" w:cs="Tahoma"/>
      <w:sz w:val="16"/>
      <w:szCs w:val="16"/>
    </w:rPr>
  </w:style>
  <w:style w:type="character" w:styleId="Hyperlink">
    <w:name w:val="Hyperlink"/>
    <w:basedOn w:val="Absatz-Standardschriftart"/>
    <w:uiPriority w:val="99"/>
    <w:unhideWhenUsed/>
    <w:rsid w:val="005C39F1"/>
    <w:rPr>
      <w:color w:val="0000FF" w:themeColor="hyperlink"/>
      <w:u w:val="single"/>
    </w:rPr>
  </w:style>
  <w:style w:type="character" w:customStyle="1" w:styleId="KopfzeileZchn">
    <w:name w:val="Kopfzeile Zchn"/>
    <w:basedOn w:val="Absatz-Standardschriftart"/>
    <w:link w:val="Kopfzeile"/>
    <w:semiHidden/>
    <w:qFormat/>
    <w:rsid w:val="00B31D65"/>
    <w:rPr>
      <w:rFonts w:ascii="Arial" w:eastAsia="Times New Roman" w:hAnsi="Arial" w:cs="Times New Roman"/>
      <w:sz w:val="24"/>
      <w:szCs w:val="20"/>
      <w:lang w:eastAsia="de-DE"/>
    </w:rPr>
  </w:style>
  <w:style w:type="character" w:styleId="Kommentarzeichen">
    <w:name w:val="annotation reference"/>
    <w:basedOn w:val="Absatz-Standardschriftart"/>
    <w:uiPriority w:val="99"/>
    <w:semiHidden/>
    <w:unhideWhenUsed/>
    <w:qFormat/>
    <w:rsid w:val="006A5310"/>
    <w:rPr>
      <w:sz w:val="16"/>
      <w:szCs w:val="16"/>
    </w:rPr>
  </w:style>
  <w:style w:type="character" w:customStyle="1" w:styleId="KommentartextZchn">
    <w:name w:val="Kommentartext Zchn"/>
    <w:basedOn w:val="Absatz-Standardschriftart"/>
    <w:link w:val="Kommentartext"/>
    <w:uiPriority w:val="99"/>
    <w:qFormat/>
    <w:rsid w:val="006A5310"/>
    <w:rPr>
      <w:sz w:val="20"/>
      <w:szCs w:val="20"/>
    </w:rPr>
  </w:style>
  <w:style w:type="character" w:customStyle="1" w:styleId="KommentarthemaZchn">
    <w:name w:val="Kommentarthema Zchn"/>
    <w:basedOn w:val="KommentartextZchn"/>
    <w:link w:val="Kommentarthema"/>
    <w:uiPriority w:val="99"/>
    <w:semiHidden/>
    <w:qFormat/>
    <w:rsid w:val="006A5310"/>
    <w:rPr>
      <w:rFonts w:ascii="Calibri" w:hAnsi="Calibri" w:cs="Times New Roman"/>
      <w:b/>
      <w:bCs/>
      <w:sz w:val="20"/>
      <w:szCs w:val="20"/>
    </w:rPr>
  </w:style>
  <w:style w:type="character" w:customStyle="1" w:styleId="NichtaufgelsteErwhnung1">
    <w:name w:val="Nicht aufgelöste Erwähnung1"/>
    <w:basedOn w:val="Absatz-Standardschriftart"/>
    <w:uiPriority w:val="99"/>
    <w:semiHidden/>
    <w:unhideWhenUsed/>
    <w:qFormat/>
    <w:rsid w:val="00495694"/>
    <w:rPr>
      <w:color w:val="605E5C"/>
      <w:shd w:val="clear" w:color="auto" w:fill="E1DFDD"/>
    </w:rPr>
  </w:style>
  <w:style w:type="character" w:styleId="BesuchterLink">
    <w:name w:val="FollowedHyperlink"/>
    <w:basedOn w:val="Absatz-Standardschriftart"/>
    <w:uiPriority w:val="99"/>
    <w:semiHidden/>
    <w:unhideWhenUsed/>
    <w:rsid w:val="00495694"/>
    <w:rPr>
      <w:color w:val="800080" w:themeColor="followedHyperlink"/>
      <w:u w:val="single"/>
    </w:rPr>
  </w:style>
  <w:style w:type="character" w:customStyle="1" w:styleId="normaltextrun">
    <w:name w:val="normaltextrun"/>
    <w:basedOn w:val="Absatz-Standardschriftart"/>
    <w:qFormat/>
    <w:rsid w:val="00DA1C7D"/>
  </w:style>
  <w:style w:type="character" w:styleId="Fett">
    <w:name w:val="Strong"/>
    <w:basedOn w:val="Absatz-Standardschriftart"/>
    <w:uiPriority w:val="22"/>
    <w:qFormat/>
    <w:rsid w:val="00DA7B57"/>
    <w:rPr>
      <w:b/>
      <w:bCs/>
    </w:rPr>
  </w:style>
  <w:style w:type="character" w:customStyle="1" w:styleId="NurTextZchn">
    <w:name w:val="Nur Text Zchn"/>
    <w:basedOn w:val="Absatz-Standardschriftart"/>
    <w:link w:val="NurText"/>
    <w:uiPriority w:val="99"/>
    <w:semiHidden/>
    <w:qFormat/>
    <w:rsid w:val="004F1B52"/>
    <w:rPr>
      <w:rFonts w:ascii="Consolas" w:hAnsi="Consolas" w:cs="Times New Roman"/>
      <w:sz w:val="21"/>
      <w:szCs w:val="21"/>
    </w:rPr>
  </w:style>
  <w:style w:type="character" w:styleId="NichtaufgelsteErwhnung">
    <w:name w:val="Unresolved Mention"/>
    <w:basedOn w:val="Absatz-Standardschriftart"/>
    <w:uiPriority w:val="99"/>
    <w:semiHidden/>
    <w:unhideWhenUsed/>
    <w:qFormat/>
    <w:rsid w:val="009D7DF5"/>
    <w:rPr>
      <w:color w:val="605E5C"/>
      <w:shd w:val="clear" w:color="auto" w:fill="E1DFDD"/>
    </w:rPr>
  </w:style>
  <w:style w:type="paragraph" w:customStyle="1" w:styleId="Heading">
    <w:name w:val="Heading"/>
    <w:basedOn w:val="Standard"/>
    <w:next w:val="Textkrper"/>
    <w:qFormat/>
    <w:pPr>
      <w:keepNext/>
      <w:spacing w:before="240" w:after="120"/>
    </w:pPr>
    <w:rPr>
      <w:rFonts w:ascii="Liberation Sans" w:eastAsia="Noto Sans CJK SC" w:hAnsi="Liberation Sans" w:cs="FreeSans"/>
      <w:sz w:val="28"/>
      <w:szCs w:val="28"/>
    </w:rPr>
  </w:style>
  <w:style w:type="paragraph" w:styleId="Textkrper">
    <w:name w:val="Body Text"/>
    <w:basedOn w:val="Standard"/>
    <w:pPr>
      <w:spacing w:after="140" w:line="276"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Index">
    <w:name w:val="Index"/>
    <w:basedOn w:val="Standard"/>
    <w:qFormat/>
    <w:pPr>
      <w:suppressLineNumbers/>
    </w:pPr>
    <w:rPr>
      <w:rFonts w:cs="FreeSans"/>
    </w:rPr>
  </w:style>
  <w:style w:type="paragraph" w:styleId="Sprechblasentext">
    <w:name w:val="Balloon Text"/>
    <w:basedOn w:val="Standard"/>
    <w:link w:val="SprechblasentextZchn"/>
    <w:uiPriority w:val="99"/>
    <w:semiHidden/>
    <w:unhideWhenUsed/>
    <w:qFormat/>
    <w:rsid w:val="0059189B"/>
    <w:rPr>
      <w:rFonts w:ascii="Tahoma" w:hAnsi="Tahoma" w:cs="Tahoma"/>
      <w:sz w:val="16"/>
      <w:szCs w:val="16"/>
    </w:rPr>
  </w:style>
  <w:style w:type="paragraph" w:styleId="Listenabsatz">
    <w:name w:val="List Paragraph"/>
    <w:basedOn w:val="Standard"/>
    <w:uiPriority w:val="34"/>
    <w:qFormat/>
    <w:rsid w:val="00D3117B"/>
    <w:pPr>
      <w:spacing w:after="200" w:line="276" w:lineRule="auto"/>
      <w:ind w:left="720"/>
      <w:contextualSpacing/>
    </w:pPr>
    <w:rPr>
      <w:rFonts w:cstheme="minorBidi"/>
    </w:rPr>
  </w:style>
  <w:style w:type="paragraph" w:customStyle="1" w:styleId="HeaderandFooter">
    <w:name w:val="Header and Footer"/>
    <w:basedOn w:val="Standard"/>
    <w:qFormat/>
  </w:style>
  <w:style w:type="paragraph" w:styleId="Kopfzeile">
    <w:name w:val="header"/>
    <w:basedOn w:val="Standard"/>
    <w:link w:val="KopfzeileZchn"/>
    <w:semiHidden/>
    <w:rsid w:val="00B31D65"/>
    <w:pPr>
      <w:tabs>
        <w:tab w:val="center" w:pos="4536"/>
        <w:tab w:val="right" w:pos="9072"/>
      </w:tabs>
    </w:pPr>
    <w:rPr>
      <w:rFonts w:ascii="Arial" w:eastAsia="Times New Roman" w:hAnsi="Arial"/>
      <w:sz w:val="24"/>
      <w:szCs w:val="20"/>
      <w:lang w:eastAsia="de-DE"/>
    </w:rPr>
  </w:style>
  <w:style w:type="paragraph" w:styleId="Kommentartext">
    <w:name w:val="annotation text"/>
    <w:basedOn w:val="Standard"/>
    <w:link w:val="KommentartextZchn"/>
    <w:uiPriority w:val="99"/>
    <w:unhideWhenUsed/>
    <w:qFormat/>
    <w:rsid w:val="006A5310"/>
    <w:pPr>
      <w:spacing w:after="200"/>
    </w:pPr>
    <w:rPr>
      <w:rFonts w:cstheme="minorBidi"/>
      <w:sz w:val="20"/>
      <w:szCs w:val="20"/>
    </w:rPr>
  </w:style>
  <w:style w:type="paragraph" w:styleId="Kommentarthema">
    <w:name w:val="annotation subject"/>
    <w:basedOn w:val="Kommentartext"/>
    <w:next w:val="Kommentartext"/>
    <w:link w:val="KommentarthemaZchn"/>
    <w:uiPriority w:val="99"/>
    <w:semiHidden/>
    <w:unhideWhenUsed/>
    <w:qFormat/>
    <w:rsid w:val="006A5310"/>
    <w:pPr>
      <w:spacing w:after="0"/>
    </w:pPr>
    <w:rPr>
      <w:rFonts w:ascii="Calibri" w:hAnsi="Calibri" w:cs="Times New Roman"/>
      <w:b/>
      <w:bCs/>
    </w:rPr>
  </w:style>
  <w:style w:type="paragraph" w:styleId="berarbeitung">
    <w:name w:val="Revision"/>
    <w:uiPriority w:val="99"/>
    <w:semiHidden/>
    <w:qFormat/>
    <w:rsid w:val="00D81BAB"/>
    <w:rPr>
      <w:rFonts w:cs="Times New Roman"/>
    </w:rPr>
  </w:style>
  <w:style w:type="paragraph" w:styleId="StandardWeb">
    <w:name w:val="Normal (Web)"/>
    <w:basedOn w:val="Standard"/>
    <w:uiPriority w:val="99"/>
    <w:semiHidden/>
    <w:unhideWhenUsed/>
    <w:qFormat/>
    <w:rsid w:val="00DA7B57"/>
    <w:pPr>
      <w:spacing w:beforeAutospacing="1" w:afterAutospacing="1"/>
    </w:pPr>
    <w:rPr>
      <w:rFonts w:ascii="Times New Roman" w:eastAsia="Times New Roman" w:hAnsi="Times New Roman"/>
      <w:sz w:val="24"/>
      <w:szCs w:val="24"/>
      <w:lang w:eastAsia="de-DE"/>
    </w:rPr>
  </w:style>
  <w:style w:type="paragraph" w:styleId="NurText">
    <w:name w:val="Plain Text"/>
    <w:basedOn w:val="Standard"/>
    <w:link w:val="NurTextZchn"/>
    <w:uiPriority w:val="99"/>
    <w:semiHidden/>
    <w:unhideWhenUsed/>
    <w:qFormat/>
    <w:rsid w:val="004F1B5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estelle@th-deg.de" TargetMode="External"/><Relationship Id="rId5" Type="http://schemas.openxmlformats.org/officeDocument/2006/relationships/hyperlink" Target="http://www.th-deg.de/" TargetMode="External"/><Relationship Id="rId4"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858</Words>
  <Characters>5411</Characters>
  <Application>Microsoft Office Word</Application>
  <DocSecurity>4</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Vorlage</dc:creator>
  <dc:description/>
  <cp:lastModifiedBy>Michela Garbarino</cp:lastModifiedBy>
  <cp:revision>2</cp:revision>
  <cp:lastPrinted>2016-09-28T13:11:00Z</cp:lastPrinted>
  <dcterms:created xsi:type="dcterms:W3CDTF">2026-07-10T05:59:00Z</dcterms:created>
  <dcterms:modified xsi:type="dcterms:W3CDTF">2026-07-10T05:59:00Z</dcterms:modified>
  <dc:language>en-GB</dc:language>
</cp:coreProperties>
</file>