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B1E05" w14:textId="0057D4D1" w:rsidR="00C6329E" w:rsidRPr="00C6329E" w:rsidRDefault="00C6329E" w:rsidP="004E2624">
      <w:pPr>
        <w:spacing w:after="120"/>
        <w:rPr>
          <w:b/>
          <w:sz w:val="36"/>
          <w:szCs w:val="36"/>
        </w:rPr>
      </w:pPr>
      <w:r w:rsidRPr="00C6329E">
        <w:rPr>
          <w:b/>
          <w:sz w:val="36"/>
          <w:szCs w:val="36"/>
        </w:rPr>
        <w:t>Hintergrundinformationen</w:t>
      </w:r>
    </w:p>
    <w:p w14:paraId="7F4E0E7F" w14:textId="213E8C50" w:rsidR="00206299" w:rsidRPr="00095E8D" w:rsidRDefault="00095E8D" w:rsidP="004E2624">
      <w:pPr>
        <w:spacing w:after="120"/>
        <w:rPr>
          <w:b/>
        </w:rPr>
      </w:pPr>
      <w:r w:rsidRPr="00095E8D">
        <w:rPr>
          <w:b/>
        </w:rPr>
        <w:t>Die geringere Lebenserwartung</w:t>
      </w:r>
      <w:r w:rsidR="009B7EC6" w:rsidRPr="00095E8D">
        <w:rPr>
          <w:b/>
        </w:rPr>
        <w:t xml:space="preserve"> von Männern ein Thema, das besondere Aufmerksamkeit verdient. </w:t>
      </w:r>
    </w:p>
    <w:p w14:paraId="708F241B" w14:textId="77777777" w:rsidR="00095E8D" w:rsidRPr="004E2624" w:rsidRDefault="00095E8D" w:rsidP="004E2624">
      <w:pPr>
        <w:spacing w:after="120"/>
        <w:rPr>
          <w:b/>
        </w:rPr>
      </w:pPr>
      <w:r w:rsidRPr="004E2624">
        <w:rPr>
          <w:b/>
        </w:rPr>
        <w:t>Warum?</w:t>
      </w:r>
      <w:r w:rsidR="007D58F9" w:rsidRPr="004E2624">
        <w:rPr>
          <w:b/>
        </w:rPr>
        <w:t xml:space="preserve"> </w:t>
      </w:r>
    </w:p>
    <w:p w14:paraId="3E691752" w14:textId="77777777" w:rsidR="00095E8D" w:rsidRDefault="004E2624" w:rsidP="004E2624">
      <w:pPr>
        <w:spacing w:after="120"/>
      </w:pPr>
      <w:r>
        <w:t>Laut</w:t>
      </w:r>
      <w:r w:rsidR="00095E8D">
        <w:t xml:space="preserve"> Definition</w:t>
      </w:r>
      <w:r>
        <w:t xml:space="preserve"> beschreibt die</w:t>
      </w:r>
      <w:r w:rsidR="00095E8D">
        <w:t xml:space="preserve"> Lebenserwartung die </w:t>
      </w:r>
      <w:r w:rsidR="00095E8D" w:rsidRPr="00E67DFB">
        <w:t>durchschnittliche Zahl von weiteren Jahren, die ein Mensch in einem bestimmten Alter nach den zum aktuellen Zeitpunkt geltenden Sterblichkeitsverhältnissen vor</w:t>
      </w:r>
      <w:r w:rsidR="00772422">
        <w:t>aussichtlich noch leben könnte.</w:t>
      </w:r>
    </w:p>
    <w:p w14:paraId="60B073D6" w14:textId="77777777" w:rsidR="00095E8D" w:rsidRDefault="00095E8D" w:rsidP="004E2624">
      <w:pPr>
        <w:spacing w:after="120"/>
      </w:pPr>
      <w:r>
        <w:t>Wichtig ist</w:t>
      </w:r>
      <w:r w:rsidR="007D58F9">
        <w:t xml:space="preserve"> zu </w:t>
      </w:r>
      <w:r w:rsidR="004E2624">
        <w:t xml:space="preserve">wissen, </w:t>
      </w:r>
      <w:r w:rsidR="007D58F9">
        <w:t>…</w:t>
      </w:r>
    </w:p>
    <w:p w14:paraId="6C58CAC8" w14:textId="77777777" w:rsidR="004E2624" w:rsidRDefault="004E2624" w:rsidP="00E456B7">
      <w:pPr>
        <w:pStyle w:val="Listenabsatz"/>
        <w:numPr>
          <w:ilvl w:val="0"/>
          <w:numId w:val="8"/>
        </w:numPr>
        <w:spacing w:after="120"/>
        <w:ind w:left="357" w:hanging="357"/>
        <w:contextualSpacing w:val="0"/>
      </w:pPr>
      <w:r>
        <w:t>…</w:t>
      </w:r>
      <w:r w:rsidR="00EA4775" w:rsidRPr="00EA4775">
        <w:t xml:space="preserve"> </w:t>
      </w:r>
      <w:r w:rsidR="00EA4775">
        <w:t>dass</w:t>
      </w:r>
      <w:r>
        <w:t xml:space="preserve"> d</w:t>
      </w:r>
      <w:r w:rsidR="00095E8D">
        <w:t xml:space="preserve">ie Lebenserwartung eine </w:t>
      </w:r>
      <w:r w:rsidR="00095E8D" w:rsidRPr="00E67DFB">
        <w:t>Kennziffer</w:t>
      </w:r>
      <w:r w:rsidR="00095E8D">
        <w:t xml:space="preserve"> </w:t>
      </w:r>
      <w:r>
        <w:t xml:space="preserve">ist, </w:t>
      </w:r>
      <w:r w:rsidR="00772422">
        <w:t xml:space="preserve">anhand derer die Gesundheit </w:t>
      </w:r>
      <w:r w:rsidR="00A2480D">
        <w:t>einer</w:t>
      </w:r>
      <w:r w:rsidR="00772422">
        <w:t xml:space="preserve"> Bevölkerung </w:t>
      </w:r>
      <w:r w:rsidR="00A2480D">
        <w:t xml:space="preserve">oder Bevölkerungsgruppe </w:t>
      </w:r>
      <w:r w:rsidR="00772422">
        <w:t>gut beurteilt werden kann</w:t>
      </w:r>
      <w:r w:rsidR="00A2480D">
        <w:t xml:space="preserve">. Sie wird nicht benutzt, um die individuelle Erwartung </w:t>
      </w:r>
      <w:r w:rsidR="00EA4775">
        <w:t xml:space="preserve">eines Menschen </w:t>
      </w:r>
      <w:r w:rsidR="00A2480D">
        <w:t>an Lebenszeit zu</w:t>
      </w:r>
      <w:r w:rsidR="00EA4775">
        <w:t xml:space="preserve"> berechnen</w:t>
      </w:r>
      <w:r w:rsidR="00772422">
        <w:t>.</w:t>
      </w:r>
    </w:p>
    <w:p w14:paraId="25684608" w14:textId="77777777" w:rsidR="004E2624" w:rsidRPr="004E2624" w:rsidRDefault="004E2624" w:rsidP="00E456B7">
      <w:pPr>
        <w:pStyle w:val="Listenabsatz"/>
        <w:numPr>
          <w:ilvl w:val="0"/>
          <w:numId w:val="8"/>
        </w:numPr>
        <w:spacing w:after="120"/>
        <w:ind w:left="357" w:hanging="357"/>
        <w:contextualSpacing w:val="0"/>
      </w:pPr>
      <w:r w:rsidRPr="004E2624">
        <w:t>…</w:t>
      </w:r>
      <w:r w:rsidR="00EA4775" w:rsidRPr="00EA4775">
        <w:t xml:space="preserve"> </w:t>
      </w:r>
      <w:r w:rsidR="00EA4775">
        <w:t>dass</w:t>
      </w:r>
      <w:r w:rsidRPr="004E2624">
        <w:t xml:space="preserve"> die Lebenserwartung ein (hypothetischer) Endpunkt ist, der zudem von zahlreichen Einflussfaktoren im Lauf des Lebens bestimmt wird (biologische Faktoren, Umweltfaktoren, sozioökonomische Bedingungen, Gesundheitsbewusstsein, Lebensweise etc.)</w:t>
      </w:r>
    </w:p>
    <w:p w14:paraId="2C535F9F" w14:textId="77777777" w:rsidR="00095E8D" w:rsidRDefault="004E2624" w:rsidP="00E456B7">
      <w:pPr>
        <w:pStyle w:val="Listenabsatz"/>
        <w:numPr>
          <w:ilvl w:val="0"/>
          <w:numId w:val="8"/>
        </w:numPr>
        <w:spacing w:after="120"/>
        <w:ind w:left="357" w:hanging="357"/>
        <w:contextualSpacing w:val="0"/>
      </w:pPr>
      <w:r>
        <w:t>…</w:t>
      </w:r>
      <w:r w:rsidR="00EA4775" w:rsidRPr="00EA4775">
        <w:t xml:space="preserve"> </w:t>
      </w:r>
      <w:r w:rsidR="00EA4775">
        <w:t>dass</w:t>
      </w:r>
      <w:r>
        <w:t xml:space="preserve"> d</w:t>
      </w:r>
      <w:r w:rsidR="00A2480D">
        <w:t xml:space="preserve">ie </w:t>
      </w:r>
      <w:r w:rsidR="00095E8D">
        <w:t xml:space="preserve">Lebenserwartung </w:t>
      </w:r>
      <w:r w:rsidR="00095E8D" w:rsidRPr="006F19A8">
        <w:t>ein</w:t>
      </w:r>
      <w:r w:rsidR="00095E8D">
        <w:t xml:space="preserve">e von vielen </w:t>
      </w:r>
      <w:r w:rsidR="00772422">
        <w:t xml:space="preserve">Maßzahlen </w:t>
      </w:r>
      <w:r>
        <w:t xml:space="preserve">ist, </w:t>
      </w:r>
      <w:r w:rsidR="00772422">
        <w:t xml:space="preserve">um das </w:t>
      </w:r>
      <w:r w:rsidR="00772422" w:rsidRPr="00E67DFB">
        <w:t>Sterblichkeits</w:t>
      </w:r>
      <w:r w:rsidR="00772422">
        <w:t xml:space="preserve">geschehen </w:t>
      </w:r>
      <w:r>
        <w:t>zu beschreiben. So beschreibt beispielsweise die vorzeitige Sterblichkeit die Anzahl der Gestorbenen vor dem Alter von 65 oder 70 Jahren. Diese Altersgrenzen wurden festgelegt, da in Deutschlandeben üblicherweise die Mehrzahl der Menschen dieses Alter erreicht und eben noch nicht verstorben ist.</w:t>
      </w:r>
    </w:p>
    <w:p w14:paraId="158831E1" w14:textId="77777777" w:rsidR="00095E8D" w:rsidRDefault="00095E8D" w:rsidP="004E2624">
      <w:pPr>
        <w:spacing w:after="120"/>
      </w:pPr>
    </w:p>
    <w:p w14:paraId="24EE336C" w14:textId="77777777" w:rsidR="002F38AA" w:rsidRPr="002F38AA" w:rsidRDefault="002F38AA" w:rsidP="002F38AA">
      <w:pPr>
        <w:spacing w:after="120"/>
        <w:rPr>
          <w:b/>
        </w:rPr>
      </w:pPr>
      <w:r w:rsidRPr="002F38AA">
        <w:rPr>
          <w:b/>
        </w:rPr>
        <w:t>Wie sieht es in Deutschland aus?</w:t>
      </w:r>
    </w:p>
    <w:p w14:paraId="61376FED" w14:textId="77777777" w:rsidR="002F38AA" w:rsidRPr="00E456B7" w:rsidRDefault="002F38AA" w:rsidP="00E456B7">
      <w:pPr>
        <w:pStyle w:val="Listenabsatz"/>
        <w:numPr>
          <w:ilvl w:val="0"/>
          <w:numId w:val="2"/>
        </w:numPr>
        <w:spacing w:after="120"/>
        <w:ind w:left="357" w:hanging="357"/>
        <w:contextualSpacing w:val="0"/>
      </w:pPr>
      <w:r w:rsidRPr="00E456B7">
        <w:t xml:space="preserve">Männer haben in Deutschland eine geringere Lebenserwartung als Frauen. </w:t>
      </w:r>
      <w:r w:rsidR="00C440B6" w:rsidRPr="00E456B7">
        <w:br/>
      </w:r>
      <w:r w:rsidRPr="000E2D2B">
        <w:rPr>
          <w:i/>
        </w:rPr>
        <w:t>Wissenschaftlich korrekt ausgedrückt: es besteht ein Geschlechterunterschied in der Lebenserwartung bei Geburt von knapp fünf Jahren zuungunsten der Männer (Frauen: 83 Jahre, Männer: 78 Jahre)</w:t>
      </w:r>
      <w:r w:rsidR="00EA4775" w:rsidRPr="000E2D2B">
        <w:rPr>
          <w:i/>
        </w:rPr>
        <w:t>.</w:t>
      </w:r>
    </w:p>
    <w:p w14:paraId="26CDD20F" w14:textId="77777777" w:rsidR="00BC57F7" w:rsidRPr="00E456B7" w:rsidRDefault="00BC57F7" w:rsidP="00E456B7">
      <w:pPr>
        <w:pStyle w:val="Listenabsatz"/>
        <w:numPr>
          <w:ilvl w:val="0"/>
          <w:numId w:val="10"/>
        </w:numPr>
        <w:spacing w:after="120"/>
        <w:ind w:left="357" w:hanging="357"/>
        <w:contextualSpacing w:val="0"/>
      </w:pPr>
      <w:r w:rsidRPr="00E456B7">
        <w:t>Männer sterben im Durchschnitt eher</w:t>
      </w:r>
      <w:r w:rsidR="00E456B7" w:rsidRPr="00E456B7">
        <w:t>.</w:t>
      </w:r>
      <w:r w:rsidR="00C440B6" w:rsidRPr="00E456B7">
        <w:br/>
      </w:r>
      <w:r w:rsidR="00C440B6" w:rsidRPr="000E2D2B">
        <w:rPr>
          <w:i/>
        </w:rPr>
        <w:t xml:space="preserve">Wissenschaftlich korrekt ausgedrückt: </w:t>
      </w:r>
      <w:r w:rsidR="00E456B7" w:rsidRPr="000E2D2B">
        <w:rPr>
          <w:i/>
        </w:rPr>
        <w:t>Männer</w:t>
      </w:r>
      <w:r w:rsidR="00C440B6" w:rsidRPr="000E2D2B">
        <w:rPr>
          <w:i/>
        </w:rPr>
        <w:t xml:space="preserve"> versterben </w:t>
      </w:r>
      <w:r w:rsidR="00E456B7" w:rsidRPr="000E2D2B">
        <w:rPr>
          <w:i/>
        </w:rPr>
        <w:t>durchschnittlich</w:t>
      </w:r>
      <w:r w:rsidR="00C440B6" w:rsidRPr="000E2D2B">
        <w:rPr>
          <w:i/>
        </w:rPr>
        <w:t xml:space="preserve"> in einem jüngeren Alter als Frauen</w:t>
      </w:r>
      <w:r w:rsidR="00E456B7" w:rsidRPr="000E2D2B">
        <w:rPr>
          <w:i/>
        </w:rPr>
        <w:t>.</w:t>
      </w:r>
    </w:p>
    <w:p w14:paraId="41003FB3" w14:textId="77777777" w:rsidR="00BC57F7" w:rsidRDefault="00955BF4" w:rsidP="00E456B7">
      <w:pPr>
        <w:pStyle w:val="Listenabsatz"/>
        <w:numPr>
          <w:ilvl w:val="0"/>
          <w:numId w:val="10"/>
        </w:numPr>
        <w:spacing w:after="120"/>
        <w:ind w:left="357" w:hanging="357"/>
        <w:contextualSpacing w:val="0"/>
      </w:pPr>
      <w:r>
        <w:t xml:space="preserve">In fast allen Altersgruppen ist der Anteil der verstorbenen Männer größer als der der Frauen, beispielsweise </w:t>
      </w:r>
      <w:r w:rsidRPr="00E456B7">
        <w:t xml:space="preserve">sterben </w:t>
      </w:r>
      <w:r>
        <w:t>i</w:t>
      </w:r>
      <w:r w:rsidR="00C440B6" w:rsidRPr="00E456B7">
        <w:t>n den Altersgruppen von 15 bis 75 Jahren doppelt so viele Männer wie Frauen</w:t>
      </w:r>
      <w:r w:rsidR="00E456B7" w:rsidRPr="00E456B7">
        <w:t>.</w:t>
      </w:r>
    </w:p>
    <w:p w14:paraId="41987CFC" w14:textId="77777777" w:rsidR="00DB14A3" w:rsidRDefault="00DB14A3" w:rsidP="00DB14A3">
      <w:pPr>
        <w:spacing w:after="120"/>
      </w:pPr>
    </w:p>
    <w:p w14:paraId="11FFA9EA" w14:textId="77777777" w:rsidR="00DB14A3" w:rsidRPr="00DB14A3" w:rsidRDefault="00DB14A3" w:rsidP="00DB14A3">
      <w:pPr>
        <w:spacing w:after="120"/>
        <w:rPr>
          <w:b/>
        </w:rPr>
      </w:pPr>
      <w:r w:rsidRPr="00DB14A3">
        <w:rPr>
          <w:b/>
        </w:rPr>
        <w:t>Was sind die Ursachen dafür?</w:t>
      </w:r>
    </w:p>
    <w:p w14:paraId="18262BBC" w14:textId="77777777" w:rsidR="00E456B7" w:rsidRPr="00075D64" w:rsidRDefault="00E456B7" w:rsidP="00E456B7">
      <w:pPr>
        <w:pStyle w:val="Listenabsatz"/>
        <w:numPr>
          <w:ilvl w:val="0"/>
          <w:numId w:val="10"/>
        </w:numPr>
        <w:spacing w:after="120"/>
        <w:ind w:left="357" w:hanging="357"/>
        <w:contextualSpacing w:val="0"/>
      </w:pPr>
      <w:r w:rsidRPr="00E456B7">
        <w:t xml:space="preserve">Die Übersterblichkeit der Männer lässt sich auf eine begrenzte Zahl </w:t>
      </w:r>
      <w:r w:rsidR="00955BF4">
        <w:t xml:space="preserve">von bei Männern </w:t>
      </w:r>
      <w:r w:rsidRPr="00E456B7">
        <w:t>häufiger</w:t>
      </w:r>
      <w:r w:rsidR="00955BF4">
        <w:t>en</w:t>
      </w:r>
      <w:r w:rsidRPr="00E456B7">
        <w:t xml:space="preserve"> Todesursachen zurückführen.</w:t>
      </w:r>
      <w:r w:rsidRPr="00E456B7">
        <w:br/>
      </w:r>
      <w:r w:rsidR="00075D64">
        <w:t>D</w:t>
      </w:r>
      <w:r w:rsidRPr="00075D64">
        <w:t xml:space="preserve">ie Übersterblichkeit der Männer </w:t>
      </w:r>
      <w:r w:rsidR="00075D64">
        <w:t xml:space="preserve">zeigt sich </w:t>
      </w:r>
      <w:r w:rsidRPr="00075D64">
        <w:t>vor allem bei Krankheiten des Kreislaufsystems (</w:t>
      </w:r>
      <w:r w:rsidR="00955BF4" w:rsidRPr="00075D64">
        <w:t xml:space="preserve">v.a. </w:t>
      </w:r>
      <w:r w:rsidRPr="00075D64">
        <w:t>ischämische Herzkrankheiten), psychischen und Verhaltensstörungen (v.a. durch psychotrope Substanzen), äußeren Ursachen (Unfälle, Suizide), Krankheiten des Verdauungssystems (</w:t>
      </w:r>
      <w:r w:rsidR="00DB14A3" w:rsidRPr="00075D64">
        <w:t xml:space="preserve">alkoholische </w:t>
      </w:r>
      <w:r w:rsidRPr="00075D64">
        <w:t xml:space="preserve">Leberkrankheiten), Endokrine, Ernährungs- und Stoffwechselkrankheiten (Diabetes mellitus) sowie einigen bösartigen Neubildungen (z.B. Lungenkrebs, Krebs der </w:t>
      </w:r>
      <w:r w:rsidRPr="00075D64">
        <w:lastRenderedPageBreak/>
        <w:t xml:space="preserve">Verdauungsorgane). Viele der Todesursachen werden durch </w:t>
      </w:r>
      <w:r w:rsidR="00DB14A3" w:rsidRPr="00075D64">
        <w:t xml:space="preserve">ein </w:t>
      </w:r>
      <w:r w:rsidRPr="00075D64">
        <w:t>riskante</w:t>
      </w:r>
      <w:r w:rsidR="00DB14A3" w:rsidRPr="00075D64">
        <w:t>s</w:t>
      </w:r>
      <w:r w:rsidRPr="00075D64">
        <w:t xml:space="preserve"> Gesundheitsverhalten mit beeinflusst.</w:t>
      </w:r>
    </w:p>
    <w:p w14:paraId="0B6887D8" w14:textId="6E2BC608" w:rsidR="00E456B7" w:rsidRDefault="00DB14A3" w:rsidP="00DB14A3">
      <w:pPr>
        <w:pStyle w:val="Listenabsatz"/>
        <w:numPr>
          <w:ilvl w:val="0"/>
          <w:numId w:val="10"/>
        </w:numPr>
        <w:spacing w:after="120"/>
        <w:ind w:left="357" w:hanging="357"/>
        <w:contextualSpacing w:val="0"/>
      </w:pPr>
      <w:r>
        <w:t>B</w:t>
      </w:r>
      <w:r w:rsidRPr="00DB14A3">
        <w:t xml:space="preserve">iologische </w:t>
      </w:r>
      <w:r>
        <w:t>Ursachen</w:t>
      </w:r>
      <w:r w:rsidRPr="00DB14A3">
        <w:t xml:space="preserve"> spielen für die Unterschiede in der Lebenserwartung </w:t>
      </w:r>
      <w:r>
        <w:t>kaum eine</w:t>
      </w:r>
      <w:r w:rsidRPr="00DB14A3">
        <w:t xml:space="preserve"> Rolle</w:t>
      </w:r>
      <w:r>
        <w:t>. Vielmehr haben die Unterschiede zwischen Frauen und Männern im Verhalten/im Lebensstil, in den sozialen Rollen aber auch in den gesellschaftlichen Rahmenbedingungen entscheidenden Einfluss auf die Lebenserwartung.</w:t>
      </w:r>
    </w:p>
    <w:p w14:paraId="152C7D5A" w14:textId="45601331" w:rsidR="00BF78EA" w:rsidRDefault="00BF78EA" w:rsidP="00F3599D">
      <w:pPr>
        <w:pStyle w:val="Listenabsatz"/>
        <w:numPr>
          <w:ilvl w:val="0"/>
          <w:numId w:val="10"/>
        </w:numPr>
        <w:spacing w:after="120"/>
        <w:ind w:left="357" w:hanging="357"/>
        <w:contextualSpacing w:val="0"/>
      </w:pPr>
      <w:r>
        <w:t xml:space="preserve">In der niedrigen Einkommensgruppe erreichen lediglich 69 Prozent das 65. Lebensjahr: </w:t>
      </w:r>
      <w:r w:rsidR="0064001D">
        <w:t xml:space="preserve">Ungleichheit in den Lebensbedingungen und </w:t>
      </w:r>
      <w:r w:rsidR="000E2D2B">
        <w:t>gesellschaftliche</w:t>
      </w:r>
      <w:r w:rsidR="0064001D">
        <w:t xml:space="preserve"> Teilhabechancen haben Auswirkungen auf ungleiche Lebenserwartung. Niedriges Einkommen Berufsstatus und Bildungsniveau erhöhen das Risiko für chronische Krankheiten und Beschwerden, für eine Einschränkung der Lebensqualität und für das Vorhandensein verhaltensbezogener Risikofaktoren (</w:t>
      </w:r>
      <w:r w:rsidR="00075D64">
        <w:t>z.B.</w:t>
      </w:r>
      <w:r w:rsidR="0064001D">
        <w:t xml:space="preserve"> Rauchen, Bewegungsmangel, Übergewicht)</w:t>
      </w:r>
      <w:r>
        <w:t xml:space="preserve">. </w:t>
      </w:r>
      <w:r>
        <w:t>Die Chance, 65 Jahre oder älter zu werden, nimmt mit steigendem Einkommen immer mehr zu. Männer, die einem relativen Armutsrisiko unterliegen (&lt;60% vom Ø-Einkommen), haben bis zum Alter von 65 Jahren ein im Verhältnis zur höchsten Einkommensgruppe (&gt;150% vom Ø-Einkommen) um fast das 3-Fache erhöhtes Sterblichkeitsrisiko. So erreicht in der niedrigen Einkommensgruppe nur ein Anteil von fast 70% (69%) der Männer das 65. Lebensjahr, während es bei den relativ wohlhabenden Männern in der hohen Einkommensgruppe fast 90% (87%) sind.</w:t>
      </w:r>
    </w:p>
    <w:p w14:paraId="66D19460" w14:textId="72DF8F80" w:rsidR="00BF78EA" w:rsidRDefault="00BF78EA" w:rsidP="00BF78EA">
      <w:pPr>
        <w:pStyle w:val="xmsonormal"/>
        <w:numPr>
          <w:ilvl w:val="0"/>
          <w:numId w:val="10"/>
        </w:numPr>
        <w:spacing w:after="120" w:afterAutospacing="0"/>
      </w:pPr>
      <w:r>
        <w:t xml:space="preserve">Bei der Lebenserwartung der Männer beträgt die Differenz zwischen der niedrigsten und der höchsten Einkommensgruppe fast 11 (10,8) Jahre. Betrachtet man nur die gesunde Lebenserwartung, d.h. die Lebensjahre, die </w:t>
      </w:r>
      <w:proofErr w:type="gramStart"/>
      <w:r>
        <w:t>in sehr gutem oder gutem allgemeinen Gesundheitszustand</w:t>
      </w:r>
      <w:proofErr w:type="gramEnd"/>
      <w:r>
        <w:t xml:space="preserve"> verbracht werden, macht der Unterschied zwischen der niedrigsten und höchsten Einkommensgruppe bei Männern sogar über 14 (14,3) Jahre aus.</w:t>
      </w:r>
    </w:p>
    <w:p w14:paraId="037A511C" w14:textId="77777777" w:rsidR="0064001D" w:rsidRDefault="0064001D" w:rsidP="0064001D">
      <w:pPr>
        <w:spacing w:after="120"/>
      </w:pPr>
    </w:p>
    <w:p w14:paraId="06864E02" w14:textId="77777777" w:rsidR="0064001D" w:rsidRPr="00075D64" w:rsidRDefault="0064001D" w:rsidP="0064001D">
      <w:pPr>
        <w:spacing w:after="120"/>
        <w:rPr>
          <w:b/>
        </w:rPr>
      </w:pPr>
      <w:r w:rsidRPr="00075D64">
        <w:rPr>
          <w:b/>
        </w:rPr>
        <w:t>Gibt es auch gute Neuigkeiten?</w:t>
      </w:r>
    </w:p>
    <w:p w14:paraId="696B43FE" w14:textId="77777777" w:rsidR="00075D64" w:rsidRDefault="0064001D" w:rsidP="00075D64">
      <w:pPr>
        <w:pStyle w:val="Listenabsatz"/>
        <w:numPr>
          <w:ilvl w:val="0"/>
          <w:numId w:val="10"/>
        </w:numPr>
        <w:spacing w:after="120"/>
        <w:ind w:left="357" w:hanging="357"/>
        <w:contextualSpacing w:val="0"/>
      </w:pPr>
      <w:r>
        <w:t xml:space="preserve">Die Lebenserwartung von Frauen wie auch von Männern hat sich in den letzten Jahrzehnten deutlich erhöht. </w:t>
      </w:r>
      <w:r w:rsidR="00075D64">
        <w:t xml:space="preserve">Der Zugewinn betrug bei den Männern seit Beginn der </w:t>
      </w:r>
      <w:r w:rsidR="00075D64" w:rsidRPr="0064001D">
        <w:t>1990er-Jahre</w:t>
      </w:r>
      <w:r w:rsidR="00075D64">
        <w:t xml:space="preserve"> </w:t>
      </w:r>
      <w:r w:rsidR="00075D64" w:rsidRPr="0064001D">
        <w:t>5,9 Jahre</w:t>
      </w:r>
      <w:r w:rsidR="00075D64">
        <w:t>.</w:t>
      </w:r>
    </w:p>
    <w:p w14:paraId="531C59FD" w14:textId="77777777" w:rsidR="000E2D2B" w:rsidRDefault="00075D64" w:rsidP="00075D64">
      <w:pPr>
        <w:pStyle w:val="Listenabsatz"/>
        <w:numPr>
          <w:ilvl w:val="0"/>
          <w:numId w:val="10"/>
        </w:numPr>
        <w:spacing w:after="120"/>
      </w:pPr>
      <w:r>
        <w:t>Eine gelebte</w:t>
      </w:r>
      <w:r w:rsidRPr="00075D64">
        <w:t xml:space="preserve"> Gleichstellung</w:t>
      </w:r>
      <w:r>
        <w:t xml:space="preserve"> </w:t>
      </w:r>
      <w:r w:rsidRPr="00075D64">
        <w:t xml:space="preserve">der Geschlechter </w:t>
      </w:r>
      <w:r w:rsidR="000E2D2B">
        <w:t xml:space="preserve">- ein unabhängig vom Geschlecht gleichberechtigter Zugang zu Ressourcen sowie politischer und gesellschaftlicher Teilhabe in allen Lebensbereichen - </w:t>
      </w:r>
      <w:r>
        <w:t xml:space="preserve">hat positive Auswirkung auf die </w:t>
      </w:r>
      <w:r w:rsidRPr="00075D64">
        <w:t>Lebenserwartung von Männern.</w:t>
      </w:r>
    </w:p>
    <w:p w14:paraId="01B51C46" w14:textId="77777777" w:rsidR="000E2D2B" w:rsidRDefault="000E2D2B" w:rsidP="000E2D2B">
      <w:pPr>
        <w:spacing w:after="120"/>
      </w:pPr>
    </w:p>
    <w:p w14:paraId="1C0A6959" w14:textId="09B8AF41" w:rsidR="004E0BC9" w:rsidRPr="00DB14A3" w:rsidRDefault="004E0BC9" w:rsidP="004E0BC9">
      <w:pPr>
        <w:spacing w:after="120"/>
        <w:rPr>
          <w:b/>
        </w:rPr>
      </w:pPr>
      <w:r w:rsidRPr="00DB14A3">
        <w:rPr>
          <w:b/>
        </w:rPr>
        <w:t xml:space="preserve">Was </w:t>
      </w:r>
      <w:r>
        <w:rPr>
          <w:b/>
        </w:rPr>
        <w:t>kann man dagegen tun?</w:t>
      </w:r>
    </w:p>
    <w:p w14:paraId="56782C7C" w14:textId="19C2E5A7" w:rsidR="0064001D" w:rsidRDefault="004E0BC9" w:rsidP="004E0BC9">
      <w:pPr>
        <w:pStyle w:val="Listenabsatz"/>
        <w:numPr>
          <w:ilvl w:val="0"/>
          <w:numId w:val="10"/>
        </w:numPr>
        <w:spacing w:after="120"/>
        <w:ind w:left="357" w:hanging="357"/>
        <w:contextualSpacing w:val="0"/>
      </w:pPr>
      <w:r>
        <w:t xml:space="preserve">Wir </w:t>
      </w:r>
      <w:r w:rsidR="0064001D">
        <w:t xml:space="preserve">wollen </w:t>
      </w:r>
      <w:r>
        <w:t xml:space="preserve">für das Thema sensibilisieren </w:t>
      </w:r>
      <w:r w:rsidR="0064001D">
        <w:t xml:space="preserve">und </w:t>
      </w:r>
      <w:r>
        <w:t xml:space="preserve">genauer </w:t>
      </w:r>
      <w:r w:rsidR="00C6329E">
        <w:t>untersuchen,</w:t>
      </w:r>
      <w:r>
        <w:t xml:space="preserve"> </w:t>
      </w:r>
      <w:r w:rsidR="0064001D">
        <w:t>was</w:t>
      </w:r>
      <w:r>
        <w:t xml:space="preserve"> die individuellen</w:t>
      </w:r>
      <w:r w:rsidR="00C6329E">
        <w:t>,</w:t>
      </w:r>
      <w:r>
        <w:t xml:space="preserve"> aber auch die gesellschaftlichen Gründe </w:t>
      </w:r>
      <w:r w:rsidR="00C6329E">
        <w:t>für die Unterschiede in der Lebenserwartung</w:t>
      </w:r>
      <w:r w:rsidR="0064001D">
        <w:t xml:space="preserve"> sind</w:t>
      </w:r>
      <w:r w:rsidR="00C6329E">
        <w:t>.</w:t>
      </w:r>
      <w:r w:rsidR="00075D64">
        <w:t xml:space="preserve"> </w:t>
      </w:r>
      <w:r w:rsidR="00C6329E">
        <w:t>Wir wollen</w:t>
      </w:r>
      <w:r w:rsidR="00075D64">
        <w:t xml:space="preserve"> d</w:t>
      </w:r>
      <w:r w:rsidR="0064001D">
        <w:t>ie positiven Einflüsse stärken</w:t>
      </w:r>
      <w:r w:rsidR="00DB5AD5">
        <w:t>.</w:t>
      </w:r>
    </w:p>
    <w:p w14:paraId="039CEF8C" w14:textId="369E75F2" w:rsidR="00BF78EA" w:rsidRDefault="00BF78EA" w:rsidP="00BF78EA">
      <w:pPr>
        <w:spacing w:after="120"/>
      </w:pPr>
    </w:p>
    <w:p w14:paraId="22F08F0D" w14:textId="0442DDDD" w:rsidR="00BF78EA" w:rsidRDefault="00BF78EA" w:rsidP="00BF78EA">
      <w:pPr>
        <w:rPr>
          <w:rFonts w:eastAsia="Times New Roman"/>
        </w:rPr>
      </w:pPr>
      <w:r>
        <w:t xml:space="preserve">Quellen: </w:t>
      </w:r>
      <w:r>
        <w:rPr>
          <w:rFonts w:eastAsia="Times New Roman"/>
        </w:rPr>
        <w:t xml:space="preserve">RKI – Robert Koch-Institut (2019): Soziale Unterschiede in Deutschland: Mortalität und Lebenserwartung. Journal </w:t>
      </w:r>
      <w:proofErr w:type="spellStart"/>
      <w:r>
        <w:rPr>
          <w:rFonts w:eastAsia="Times New Roman"/>
        </w:rPr>
        <w:t>of</w:t>
      </w:r>
      <w:proofErr w:type="spellEnd"/>
      <w:r>
        <w:rPr>
          <w:rFonts w:eastAsia="Times New Roman"/>
        </w:rPr>
        <w:t xml:space="preserve"> Health Monitoring · 2019 4(1)</w:t>
      </w:r>
      <w:r>
        <w:rPr>
          <w:rFonts w:eastAsia="Times New Roman"/>
        </w:rPr>
        <w:t xml:space="preserve"> (</w:t>
      </w:r>
      <w:hyperlink r:id="rId7" w:history="1">
        <w:r w:rsidR="00C6329E" w:rsidRPr="00D74E7C">
          <w:rPr>
            <w:rStyle w:val="Hyperlink"/>
            <w:rFonts w:eastAsia="Times New Roman"/>
          </w:rPr>
          <w:t>http://www.rki.de/DE/Content/Gesundheitsmonitoring/Gesundheitsberichterstattung/GBEDownloadsJ/JoHM_01_2019_Soz_Unterschiede_Mortalitaet.pdf?__blob=publicationFile</w:t>
        </w:r>
      </w:hyperlink>
      <w:r w:rsidR="00C6329E" w:rsidRPr="00D74E7C">
        <w:rPr>
          <w:rFonts w:eastAsia="Times New Roman"/>
        </w:rPr>
        <w:t xml:space="preserve"> </w:t>
      </w:r>
    </w:p>
    <w:p w14:paraId="68310B07" w14:textId="57EF9154" w:rsidR="00C6329E" w:rsidRDefault="00C6329E" w:rsidP="00C6329E">
      <w:pPr>
        <w:rPr>
          <w:rFonts w:eastAsia="Times New Roman"/>
        </w:rPr>
      </w:pPr>
      <w:hyperlink r:id="rId8" w:history="1">
        <w:r>
          <w:rPr>
            <w:rStyle w:val="Hyperlink"/>
            <w:rFonts w:eastAsia="Times New Roman"/>
          </w:rPr>
          <w:t>http://www.rki.de/DE/Content/Gesundheitsmonitoring/Gesundheitsberichterstattung/GBEDownloadsK/2014_2_soziale_unterschiede.pdf%3F__blob%3DpublicationFile</w:t>
        </w:r>
      </w:hyperlink>
      <w:r>
        <w:rPr>
          <w:rFonts w:eastAsia="Times New Roman"/>
        </w:rPr>
        <w:t>)</w:t>
      </w:r>
    </w:p>
    <w:p w14:paraId="4D8AAC7C" w14:textId="77777777" w:rsidR="00C6329E" w:rsidRDefault="00C6329E" w:rsidP="00C6329E">
      <w:pPr>
        <w:rPr>
          <w:rFonts w:eastAsia="Times New Roman"/>
          <w:sz w:val="32"/>
          <w:szCs w:val="32"/>
        </w:rPr>
      </w:pPr>
    </w:p>
    <w:p w14:paraId="1CA7369C" w14:textId="448C183D" w:rsidR="00C6329E" w:rsidRPr="00D74E7C" w:rsidRDefault="00C6329E" w:rsidP="00C6329E">
      <w:pPr>
        <w:rPr>
          <w:rFonts w:eastAsia="Times New Roman"/>
          <w:b/>
          <w:bCs/>
          <w:sz w:val="36"/>
          <w:szCs w:val="36"/>
        </w:rPr>
      </w:pPr>
      <w:r w:rsidRPr="00D74E7C">
        <w:rPr>
          <w:rFonts w:eastAsia="Times New Roman"/>
          <w:b/>
          <w:bCs/>
          <w:sz w:val="36"/>
          <w:szCs w:val="36"/>
        </w:rPr>
        <w:t>Linkliste zu Literatur zum Thema Lebenserwartung</w:t>
      </w:r>
    </w:p>
    <w:p w14:paraId="28C727FC" w14:textId="77777777" w:rsidR="00C6329E" w:rsidRDefault="00C6329E" w:rsidP="00C6329E">
      <w:pPr>
        <w:pBdr>
          <w:top w:val="single" w:sz="4" w:space="1" w:color="auto"/>
          <w:left w:val="single" w:sz="4" w:space="4" w:color="auto"/>
          <w:bottom w:val="single" w:sz="4" w:space="1" w:color="auto"/>
          <w:right w:val="single" w:sz="4" w:space="4" w:color="auto"/>
        </w:pBdr>
        <w:spacing w:after="120"/>
      </w:pPr>
      <w:proofErr w:type="spellStart"/>
      <w:r>
        <w:t>Nowossadeck</w:t>
      </w:r>
      <w:proofErr w:type="spellEnd"/>
      <w:r>
        <w:t xml:space="preserve"> E, von der Lippe E, Lampert T (2019) </w:t>
      </w:r>
      <w:r w:rsidRPr="00B93276">
        <w:rPr>
          <w:b/>
        </w:rPr>
        <w:t>Entwicklung der Lebenserwartung in Deutschland – Aktuelle Trends</w:t>
      </w:r>
      <w:r w:rsidRPr="00B93276">
        <w:t xml:space="preserve">. Journal </w:t>
      </w:r>
      <w:proofErr w:type="spellStart"/>
      <w:r w:rsidRPr="00B93276">
        <w:t>o</w:t>
      </w:r>
      <w:r>
        <w:t>f</w:t>
      </w:r>
      <w:proofErr w:type="spellEnd"/>
      <w:r>
        <w:t xml:space="preserve"> Health Monitoring 4(1):41–48</w:t>
      </w:r>
    </w:p>
    <w:p w14:paraId="7B55B2CE" w14:textId="77777777" w:rsidR="00C6329E" w:rsidRPr="00A33EB5" w:rsidRDefault="00C6329E" w:rsidP="00C6329E">
      <w:pPr>
        <w:pStyle w:val="Listenabsatz"/>
        <w:numPr>
          <w:ilvl w:val="0"/>
          <w:numId w:val="13"/>
        </w:numPr>
        <w:spacing w:after="120"/>
        <w:rPr>
          <w:rStyle w:val="Hyperlink"/>
        </w:rPr>
      </w:pPr>
      <w:hyperlink r:id="rId9" w:history="1">
        <w:r w:rsidRPr="00B22299">
          <w:rPr>
            <w:rStyle w:val="Hyperlink"/>
          </w:rPr>
          <w:t>https://edoc.rki.de/bitstream/handle/176904/5910/JoHM_01_2019_Entwicklung_Lebenserwartung.pdf?sequence=1&amp;isAllowed=y</w:t>
        </w:r>
      </w:hyperlink>
    </w:p>
    <w:p w14:paraId="21B974E2" w14:textId="77777777" w:rsidR="00C6329E" w:rsidRPr="00A33EB5" w:rsidRDefault="00C6329E" w:rsidP="00C6329E">
      <w:pPr>
        <w:spacing w:after="120"/>
        <w:rPr>
          <w:u w:val="single"/>
        </w:rPr>
      </w:pPr>
      <w:r w:rsidRPr="00A33EB5">
        <w:rPr>
          <w:u w:val="single"/>
        </w:rPr>
        <w:t>Kernaussagen:</w:t>
      </w:r>
    </w:p>
    <w:p w14:paraId="62C5D93E" w14:textId="77777777" w:rsidR="00C6329E" w:rsidRDefault="00C6329E" w:rsidP="00C6329E">
      <w:pPr>
        <w:pStyle w:val="Listenabsatz"/>
        <w:numPr>
          <w:ilvl w:val="0"/>
          <w:numId w:val="14"/>
        </w:numPr>
        <w:spacing w:after="120"/>
      </w:pPr>
      <w:r w:rsidRPr="00A33EB5">
        <w:t>Die Lebenserwartung von Frauen in den neuen Bundesländern liegt inzwischen über der von Frauen in den alten Bundesländern.</w:t>
      </w:r>
    </w:p>
    <w:p w14:paraId="5B2C02E1" w14:textId="77777777" w:rsidR="00C6329E" w:rsidRDefault="00C6329E" w:rsidP="00C6329E">
      <w:pPr>
        <w:pStyle w:val="Listenabsatz"/>
        <w:numPr>
          <w:ilvl w:val="0"/>
          <w:numId w:val="14"/>
        </w:numPr>
        <w:spacing w:after="120"/>
      </w:pPr>
      <w:r>
        <w:t>Die Lebenserwartung von Männern steigt schneller als die von Frauen.</w:t>
      </w:r>
    </w:p>
    <w:p w14:paraId="42774608" w14:textId="77777777" w:rsidR="00C6329E" w:rsidRDefault="00C6329E" w:rsidP="00C6329E">
      <w:pPr>
        <w:pStyle w:val="Listenabsatz"/>
        <w:numPr>
          <w:ilvl w:val="0"/>
          <w:numId w:val="14"/>
        </w:numPr>
        <w:spacing w:after="120"/>
      </w:pPr>
      <w:r>
        <w:t>In den letzten Jahren hat sich der Anstieg der Lebenserwartung in einzelnen Kalenderjahren verlangsamt und 2015/2017 gab es sogar einen geringfügen Rückgang.</w:t>
      </w:r>
    </w:p>
    <w:p w14:paraId="74C68801" w14:textId="77777777" w:rsidR="00C6329E" w:rsidRPr="00A33EB5" w:rsidRDefault="00C6329E" w:rsidP="00C6329E">
      <w:pPr>
        <w:pStyle w:val="Listenabsatz"/>
        <w:numPr>
          <w:ilvl w:val="0"/>
          <w:numId w:val="14"/>
        </w:numPr>
        <w:spacing w:after="120"/>
      </w:pPr>
      <w:r>
        <w:t>Grippewellen könnten ein Grund dafür sein, dass sich der Anstieg der Lebenserwartung in den letzten Jahren abgeschwächt hat.</w:t>
      </w:r>
    </w:p>
    <w:p w14:paraId="7F5C8C2A" w14:textId="77777777" w:rsidR="00C6329E" w:rsidRDefault="00C6329E" w:rsidP="00C6329E">
      <w:pPr>
        <w:spacing w:after="120"/>
      </w:pPr>
    </w:p>
    <w:p w14:paraId="1C7A2690" w14:textId="77777777" w:rsidR="00C6329E" w:rsidRDefault="00C6329E" w:rsidP="00C6329E">
      <w:pPr>
        <w:pBdr>
          <w:top w:val="single" w:sz="4" w:space="1" w:color="auto"/>
          <w:left w:val="single" w:sz="4" w:space="4" w:color="auto"/>
          <w:bottom w:val="single" w:sz="4" w:space="1" w:color="auto"/>
          <w:right w:val="single" w:sz="4" w:space="4" w:color="auto"/>
        </w:pBdr>
        <w:spacing w:after="120"/>
      </w:pPr>
      <w:r>
        <w:t xml:space="preserve">Lampert T, </w:t>
      </w:r>
      <w:proofErr w:type="spellStart"/>
      <w:r>
        <w:t>Hoebel</w:t>
      </w:r>
      <w:proofErr w:type="spellEnd"/>
      <w:r>
        <w:t xml:space="preserve"> J, Kroll LE (2019) </w:t>
      </w:r>
      <w:r w:rsidRPr="00B93276">
        <w:rPr>
          <w:b/>
        </w:rPr>
        <w:t>Soziale Unterschiede in der Mortalität und Lebenserwartung in Deutschland – Aktuelle Situation und Trends.</w:t>
      </w:r>
      <w:r>
        <w:t xml:space="preserve"> Journal </w:t>
      </w:r>
      <w:proofErr w:type="spellStart"/>
      <w:r>
        <w:t>of</w:t>
      </w:r>
      <w:proofErr w:type="spellEnd"/>
      <w:r>
        <w:t xml:space="preserve"> Health Monitoring 4(1): 3–15</w:t>
      </w:r>
    </w:p>
    <w:p w14:paraId="15262D2B" w14:textId="77777777" w:rsidR="00C6329E" w:rsidRPr="00B93276" w:rsidRDefault="00C6329E" w:rsidP="00C6329E">
      <w:pPr>
        <w:pStyle w:val="Listenabsatz"/>
        <w:numPr>
          <w:ilvl w:val="0"/>
          <w:numId w:val="13"/>
        </w:numPr>
        <w:spacing w:after="120"/>
        <w:rPr>
          <w:rStyle w:val="Hyperlink"/>
        </w:rPr>
      </w:pPr>
      <w:hyperlink r:id="rId10" w:history="1">
        <w:r w:rsidRPr="00B22299">
          <w:rPr>
            <w:rStyle w:val="Hyperlink"/>
          </w:rPr>
          <w:t>https://edoc.rki.de/bitstream/handle/176904/5909/JoHM_01_2019_Mortalitaet_Lebenserwartung.pdf?sequence=1&amp;isAllowed=y</w:t>
        </w:r>
      </w:hyperlink>
    </w:p>
    <w:p w14:paraId="749F8FB4" w14:textId="77777777" w:rsidR="00C6329E" w:rsidRPr="00A33EB5" w:rsidRDefault="00C6329E" w:rsidP="00C6329E">
      <w:pPr>
        <w:spacing w:after="120"/>
        <w:rPr>
          <w:u w:val="single"/>
        </w:rPr>
      </w:pPr>
      <w:r w:rsidRPr="00A33EB5">
        <w:rPr>
          <w:u w:val="single"/>
        </w:rPr>
        <w:t>Kernaussagen:</w:t>
      </w:r>
    </w:p>
    <w:p w14:paraId="2858D85D" w14:textId="77777777" w:rsidR="00C6329E" w:rsidRDefault="00C6329E" w:rsidP="00C6329E">
      <w:pPr>
        <w:pStyle w:val="Listenabsatz"/>
        <w:numPr>
          <w:ilvl w:val="0"/>
          <w:numId w:val="14"/>
        </w:numPr>
        <w:spacing w:after="120"/>
      </w:pPr>
      <w:r>
        <w:t>Soziale Unterschiede in der Lebenserwartung sind eine extreme Ausprägungsform sozialer Ungleichheit.</w:t>
      </w:r>
    </w:p>
    <w:p w14:paraId="737137E1" w14:textId="77777777" w:rsidR="00C6329E" w:rsidRDefault="00C6329E" w:rsidP="00C6329E">
      <w:pPr>
        <w:pStyle w:val="Listenabsatz"/>
        <w:numPr>
          <w:ilvl w:val="0"/>
          <w:numId w:val="14"/>
        </w:numPr>
        <w:spacing w:after="120"/>
      </w:pPr>
      <w:r>
        <w:t>Rund 13% der Frauen und 27% der Männer mit niedrigem Einkommen sterben vor Vollendung des 65. Lebensjahres.</w:t>
      </w:r>
    </w:p>
    <w:p w14:paraId="5979B99C" w14:textId="77777777" w:rsidR="00C6329E" w:rsidRDefault="00C6329E" w:rsidP="00C6329E">
      <w:pPr>
        <w:pStyle w:val="Listenabsatz"/>
        <w:numPr>
          <w:ilvl w:val="0"/>
          <w:numId w:val="14"/>
        </w:numPr>
        <w:spacing w:after="120"/>
      </w:pPr>
      <w:r>
        <w:t>Die Differenz in der mittleren Lebenserwartung bei Geburt zwischen der niedrigsten und höchsten Einkommensgruppe beträgt bei Frauen 4,4 Jahre und bei Männern 8,6 Jahre.</w:t>
      </w:r>
    </w:p>
    <w:p w14:paraId="2DD26DB7" w14:textId="77777777" w:rsidR="00C6329E" w:rsidRDefault="00C6329E" w:rsidP="00C6329E">
      <w:pPr>
        <w:pStyle w:val="Listenabsatz"/>
        <w:numPr>
          <w:ilvl w:val="0"/>
          <w:numId w:val="14"/>
        </w:numPr>
        <w:spacing w:after="120"/>
      </w:pPr>
      <w:r>
        <w:t>Im Alter von 65 Jahren liegt die fernere Lebenserwartung von Frauen und Männern in der niedrigsten Einkommensgruppe 3,7 beziehungsweise 6,6 Jahre unter der in der höchsten Einkommensgruppe.</w:t>
      </w:r>
    </w:p>
    <w:p w14:paraId="7CC7C95D" w14:textId="77777777" w:rsidR="00C6329E" w:rsidRDefault="00C6329E" w:rsidP="00C6329E">
      <w:pPr>
        <w:spacing w:after="120"/>
      </w:pPr>
    </w:p>
    <w:p w14:paraId="1784E45B" w14:textId="77777777" w:rsidR="00C6329E" w:rsidRPr="007A02EA" w:rsidRDefault="00C6329E" w:rsidP="00C6329E">
      <w:pPr>
        <w:pBdr>
          <w:top w:val="single" w:sz="4" w:space="1" w:color="auto"/>
          <w:left w:val="single" w:sz="4" w:space="4" w:color="auto"/>
          <w:bottom w:val="single" w:sz="4" w:space="1" w:color="auto"/>
          <w:right w:val="single" w:sz="4" w:space="4" w:color="auto"/>
        </w:pBdr>
        <w:spacing w:after="120"/>
        <w:rPr>
          <w:lang w:val="en-US"/>
        </w:rPr>
      </w:pPr>
      <w:proofErr w:type="spellStart"/>
      <w:r w:rsidRPr="00A33EB5">
        <w:rPr>
          <w:lang w:val="en-US"/>
        </w:rPr>
        <w:t>Kibele</w:t>
      </w:r>
      <w:proofErr w:type="spellEnd"/>
      <w:r w:rsidRPr="00A33EB5">
        <w:rPr>
          <w:lang w:val="en-US"/>
        </w:rPr>
        <w:t xml:space="preserve"> EUB, </w:t>
      </w:r>
      <w:proofErr w:type="spellStart"/>
      <w:r w:rsidRPr="00A33EB5">
        <w:rPr>
          <w:lang w:val="en-US"/>
        </w:rPr>
        <w:t>Jasilionis</w:t>
      </w:r>
      <w:proofErr w:type="spellEnd"/>
      <w:r w:rsidRPr="00A33EB5">
        <w:rPr>
          <w:lang w:val="en-US"/>
        </w:rPr>
        <w:t xml:space="preserve"> D, </w:t>
      </w:r>
      <w:proofErr w:type="spellStart"/>
      <w:r w:rsidRPr="00A33EB5">
        <w:rPr>
          <w:lang w:val="en-US"/>
        </w:rPr>
        <w:t>Shkolnikov</w:t>
      </w:r>
      <w:proofErr w:type="spellEnd"/>
      <w:r w:rsidRPr="00A33EB5">
        <w:rPr>
          <w:lang w:val="en-US"/>
        </w:rPr>
        <w:t xml:space="preserve"> VM (2013) </w:t>
      </w:r>
      <w:r w:rsidRPr="00A33EB5">
        <w:rPr>
          <w:b/>
          <w:lang w:val="en-US"/>
        </w:rPr>
        <w:t>Widening socio-economic differences in mortality among men aged 65 years and older in Germany</w:t>
      </w:r>
      <w:r w:rsidRPr="00A33EB5">
        <w:rPr>
          <w:lang w:val="en-US"/>
        </w:rPr>
        <w:t xml:space="preserve">. J Epidemiol Community Health </w:t>
      </w:r>
      <w:r w:rsidRPr="007A02EA">
        <w:rPr>
          <w:lang w:val="en-US"/>
        </w:rPr>
        <w:t>67(5):453-457</w:t>
      </w:r>
    </w:p>
    <w:p w14:paraId="60393C5E" w14:textId="77777777" w:rsidR="00C6329E" w:rsidRPr="007A02EA" w:rsidRDefault="00C6329E" w:rsidP="00C6329E">
      <w:pPr>
        <w:pStyle w:val="Listenabsatz"/>
        <w:numPr>
          <w:ilvl w:val="0"/>
          <w:numId w:val="13"/>
        </w:numPr>
        <w:spacing w:after="120"/>
        <w:rPr>
          <w:rStyle w:val="Hyperlink"/>
          <w:lang w:val="en-US"/>
        </w:rPr>
      </w:pPr>
      <w:hyperlink r:id="rId11" w:history="1">
        <w:r w:rsidRPr="007A02EA">
          <w:rPr>
            <w:rStyle w:val="Hyperlink"/>
            <w:lang w:val="en-US"/>
          </w:rPr>
          <w:t>http://dx.doi.org/10.1136/jech-2012-201761</w:t>
        </w:r>
      </w:hyperlink>
    </w:p>
    <w:p w14:paraId="0ECDBCAA" w14:textId="77777777" w:rsidR="00C6329E" w:rsidRPr="00D5020E" w:rsidRDefault="00C6329E" w:rsidP="00C6329E">
      <w:pPr>
        <w:spacing w:after="120"/>
        <w:rPr>
          <w:u w:val="single"/>
        </w:rPr>
      </w:pPr>
      <w:r w:rsidRPr="00D5020E">
        <w:rPr>
          <w:u w:val="single"/>
        </w:rPr>
        <w:t>Kernaussagen:</w:t>
      </w:r>
    </w:p>
    <w:p w14:paraId="05CB896C" w14:textId="77777777" w:rsidR="00C6329E" w:rsidRDefault="00C6329E" w:rsidP="00C6329E">
      <w:pPr>
        <w:pStyle w:val="Listenabsatz"/>
        <w:numPr>
          <w:ilvl w:val="0"/>
          <w:numId w:val="14"/>
        </w:numPr>
        <w:spacing w:after="120"/>
      </w:pPr>
      <w:r>
        <w:t>Ein niedriges Einkommen ist mit einer geringeren Lebenserwartung im Alter von 65 Jahren assoziiert.</w:t>
      </w:r>
    </w:p>
    <w:p w14:paraId="6C63A888" w14:textId="77777777" w:rsidR="00C6329E" w:rsidRDefault="00C6329E" w:rsidP="00C6329E">
      <w:pPr>
        <w:pStyle w:val="Listenabsatz"/>
        <w:numPr>
          <w:ilvl w:val="0"/>
          <w:numId w:val="14"/>
        </w:numPr>
        <w:spacing w:after="120"/>
      </w:pPr>
      <w:r>
        <w:lastRenderedPageBreak/>
        <w:t>Die einkommensbezogenen Unterschiede in der ferneren Lebenserwartung haben sich im Beobachtungszeitraum (1995/1996- 2007/2008) weiter ausgeweitet, die Ausweitung der Unterschiede war in Ostdeutschland stärker ausgeprägt als in Westdeutschland.</w:t>
      </w:r>
    </w:p>
    <w:p w14:paraId="4645615E" w14:textId="77777777" w:rsidR="00C6329E" w:rsidRDefault="00C6329E" w:rsidP="00C6329E">
      <w:pPr>
        <w:pStyle w:val="Listenabsatz"/>
        <w:numPr>
          <w:ilvl w:val="0"/>
          <w:numId w:val="14"/>
        </w:numPr>
        <w:spacing w:after="120"/>
      </w:pPr>
      <w:r>
        <w:t xml:space="preserve">Die Lebenserwartung ist in diesem Zeitraum in allen Einkommensgruppen gestiegen, jedoch fiel der Zugewinn in den hohen Einkommensgruppen gegenüber den niedrigen Einkommensgruppen größer aus. </w:t>
      </w:r>
    </w:p>
    <w:p w14:paraId="6EB525A4" w14:textId="77777777" w:rsidR="00C6329E" w:rsidRDefault="00C6329E" w:rsidP="00C6329E">
      <w:pPr>
        <w:pBdr>
          <w:top w:val="single" w:sz="4" w:space="1" w:color="auto"/>
          <w:left w:val="single" w:sz="4" w:space="4" w:color="auto"/>
          <w:bottom w:val="single" w:sz="4" w:space="1" w:color="auto"/>
          <w:right w:val="single" w:sz="4" w:space="4" w:color="auto"/>
        </w:pBdr>
        <w:spacing w:after="120"/>
        <w:rPr>
          <w:lang w:val="en-US"/>
        </w:rPr>
      </w:pPr>
      <w:proofErr w:type="spellStart"/>
      <w:r w:rsidRPr="00602E4F">
        <w:rPr>
          <w:lang w:val="en-US"/>
        </w:rPr>
        <w:t>Mackenbach</w:t>
      </w:r>
      <w:proofErr w:type="spellEnd"/>
      <w:r w:rsidRPr="00602E4F">
        <w:rPr>
          <w:lang w:val="en-US"/>
        </w:rPr>
        <w:t xml:space="preserve"> JP, </w:t>
      </w:r>
      <w:proofErr w:type="spellStart"/>
      <w:r w:rsidRPr="00602E4F">
        <w:rPr>
          <w:lang w:val="en-US"/>
        </w:rPr>
        <w:t>Stirbu</w:t>
      </w:r>
      <w:proofErr w:type="spellEnd"/>
      <w:r w:rsidRPr="00602E4F">
        <w:rPr>
          <w:lang w:val="en-US"/>
        </w:rPr>
        <w:t xml:space="preserve"> I, </w:t>
      </w:r>
      <w:proofErr w:type="spellStart"/>
      <w:r w:rsidRPr="00602E4F">
        <w:rPr>
          <w:lang w:val="en-US"/>
        </w:rPr>
        <w:t>Roskam</w:t>
      </w:r>
      <w:proofErr w:type="spellEnd"/>
      <w:r w:rsidRPr="00602E4F">
        <w:rPr>
          <w:lang w:val="en-US"/>
        </w:rPr>
        <w:t xml:space="preserve"> A-J et al. (2008) </w:t>
      </w:r>
      <w:r w:rsidRPr="00602E4F">
        <w:rPr>
          <w:b/>
          <w:lang w:val="en-US"/>
        </w:rPr>
        <w:t>Socioeconomic inequalities in health in 22 European countries.</w:t>
      </w:r>
      <w:r w:rsidRPr="00602E4F">
        <w:rPr>
          <w:lang w:val="en-US"/>
        </w:rPr>
        <w:t xml:space="preserve"> N </w:t>
      </w:r>
      <w:proofErr w:type="spellStart"/>
      <w:r w:rsidRPr="00602E4F">
        <w:rPr>
          <w:lang w:val="en-US"/>
        </w:rPr>
        <w:t>Engl</w:t>
      </w:r>
      <w:proofErr w:type="spellEnd"/>
      <w:r w:rsidRPr="00602E4F">
        <w:rPr>
          <w:lang w:val="en-US"/>
        </w:rPr>
        <w:t xml:space="preserve"> J Med</w:t>
      </w:r>
      <w:r>
        <w:rPr>
          <w:lang w:val="en-US"/>
        </w:rPr>
        <w:t xml:space="preserve"> </w:t>
      </w:r>
      <w:r w:rsidRPr="00602E4F">
        <w:rPr>
          <w:lang w:val="en-US"/>
        </w:rPr>
        <w:t>358(23):2468-2481</w:t>
      </w:r>
    </w:p>
    <w:p w14:paraId="36720442" w14:textId="77777777" w:rsidR="00C6329E" w:rsidRPr="00602E4F" w:rsidRDefault="00C6329E" w:rsidP="00C6329E">
      <w:pPr>
        <w:pStyle w:val="Listenabsatz"/>
        <w:numPr>
          <w:ilvl w:val="0"/>
          <w:numId w:val="13"/>
        </w:numPr>
        <w:spacing w:after="120"/>
        <w:rPr>
          <w:rStyle w:val="Hyperlink"/>
          <w:lang w:val="en-US"/>
        </w:rPr>
      </w:pPr>
      <w:hyperlink r:id="rId12" w:history="1">
        <w:r w:rsidRPr="00602E4F">
          <w:rPr>
            <w:rStyle w:val="Hyperlink"/>
            <w:lang w:val="en-US"/>
          </w:rPr>
          <w:t>https://www.nejm.org/doi/full/10.1056/NEJMsa0707519</w:t>
        </w:r>
      </w:hyperlink>
    </w:p>
    <w:p w14:paraId="4F1A1F3C" w14:textId="77777777" w:rsidR="00C6329E" w:rsidRPr="00D1333C" w:rsidRDefault="00C6329E" w:rsidP="00C6329E">
      <w:pPr>
        <w:spacing w:after="120"/>
        <w:rPr>
          <w:u w:val="single"/>
        </w:rPr>
      </w:pPr>
      <w:r w:rsidRPr="00D1333C">
        <w:rPr>
          <w:u w:val="single"/>
        </w:rPr>
        <w:t>Kernaussagen:</w:t>
      </w:r>
    </w:p>
    <w:p w14:paraId="382D10AC" w14:textId="77777777" w:rsidR="00C6329E" w:rsidRDefault="00C6329E" w:rsidP="00C6329E">
      <w:pPr>
        <w:pStyle w:val="Listenabsatz"/>
        <w:numPr>
          <w:ilvl w:val="0"/>
          <w:numId w:val="15"/>
        </w:numPr>
        <w:spacing w:after="120"/>
      </w:pPr>
      <w:r>
        <w:t xml:space="preserve">In allen untersuchten europäischen Ländern ist das </w:t>
      </w:r>
      <w:r w:rsidRPr="00602E4F">
        <w:t xml:space="preserve">Mortalitätsrisiko </w:t>
      </w:r>
      <w:r>
        <w:t xml:space="preserve">in der </w:t>
      </w:r>
      <w:r w:rsidRPr="00602E4F">
        <w:t>niedrigen im Vergleich zu den hohen Bildungsgruppen erhöht</w:t>
      </w:r>
      <w:r>
        <w:t>.</w:t>
      </w:r>
      <w:r w:rsidRPr="00602E4F">
        <w:t xml:space="preserve"> </w:t>
      </w:r>
    </w:p>
    <w:p w14:paraId="33E56217" w14:textId="77777777" w:rsidR="00C6329E" w:rsidRDefault="00C6329E" w:rsidP="00C6329E">
      <w:pPr>
        <w:pStyle w:val="Listenabsatz"/>
        <w:numPr>
          <w:ilvl w:val="0"/>
          <w:numId w:val="15"/>
        </w:numPr>
        <w:spacing w:after="120"/>
      </w:pPr>
      <w:r w:rsidRPr="00602E4F">
        <w:t xml:space="preserve">Eine nach Todesursachen differenzierte Betrachtung zeigt, dass diese Unterschiede sowohl bei Todesfällen infolge von kardiovaskulären und Krebserkrankungen als auch infolge von Unfällen und Verletzungen bestehen. </w:t>
      </w:r>
    </w:p>
    <w:p w14:paraId="01F0CA66" w14:textId="77777777" w:rsidR="00C6329E" w:rsidRPr="00602E4F" w:rsidRDefault="00C6329E" w:rsidP="00C6329E">
      <w:pPr>
        <w:spacing w:after="120"/>
      </w:pPr>
    </w:p>
    <w:p w14:paraId="0D916DD2" w14:textId="77777777" w:rsidR="00C6329E" w:rsidRPr="00656EAE" w:rsidRDefault="00C6329E" w:rsidP="00C6329E">
      <w:pPr>
        <w:pBdr>
          <w:top w:val="single" w:sz="4" w:space="1" w:color="auto"/>
          <w:left w:val="single" w:sz="4" w:space="4" w:color="auto"/>
          <w:bottom w:val="single" w:sz="4" w:space="1" w:color="auto"/>
          <w:right w:val="single" w:sz="4" w:space="4" w:color="auto"/>
        </w:pBdr>
        <w:spacing w:after="120"/>
        <w:rPr>
          <w:bCs/>
        </w:rPr>
      </w:pPr>
      <w:r>
        <w:rPr>
          <w:bCs/>
        </w:rPr>
        <w:t xml:space="preserve">Kolip P, Lange C, Finne E (2019) </w:t>
      </w:r>
      <w:r w:rsidRPr="00656EAE">
        <w:rPr>
          <w:b/>
          <w:bCs/>
        </w:rPr>
        <w:t>Gleichstellung der Geschlechter und Geschlechterunterschiede in</w:t>
      </w:r>
      <w:r>
        <w:rPr>
          <w:b/>
          <w:bCs/>
        </w:rPr>
        <w:t xml:space="preserve"> </w:t>
      </w:r>
      <w:r w:rsidRPr="00656EAE">
        <w:rPr>
          <w:b/>
          <w:bCs/>
        </w:rPr>
        <w:t>der Lebenserwartung in</w:t>
      </w:r>
      <w:r>
        <w:rPr>
          <w:b/>
          <w:bCs/>
        </w:rPr>
        <w:t xml:space="preserve"> </w:t>
      </w:r>
      <w:r w:rsidRPr="00656EAE">
        <w:rPr>
          <w:b/>
          <w:bCs/>
        </w:rPr>
        <w:t>Deutschland</w:t>
      </w:r>
      <w:r>
        <w:rPr>
          <w:b/>
          <w:bCs/>
        </w:rPr>
        <w:t xml:space="preserve">. </w:t>
      </w:r>
      <w:r w:rsidRPr="00656EAE">
        <w:rPr>
          <w:bCs/>
        </w:rPr>
        <w:t xml:space="preserve">Bundesgesundheitsblatt - Gesundheitsforschung </w:t>
      </w:r>
      <w:r>
        <w:rPr>
          <w:bCs/>
        </w:rPr>
        <w:t>–</w:t>
      </w:r>
      <w:r w:rsidRPr="00656EAE">
        <w:rPr>
          <w:bCs/>
        </w:rPr>
        <w:t xml:space="preserve"> Gesundheitsschutz</w:t>
      </w:r>
      <w:r>
        <w:rPr>
          <w:bCs/>
        </w:rPr>
        <w:t xml:space="preserve"> </w:t>
      </w:r>
      <w:r w:rsidRPr="00656EAE">
        <w:rPr>
          <w:bCs/>
        </w:rPr>
        <w:t>62</w:t>
      </w:r>
      <w:r>
        <w:rPr>
          <w:bCs/>
        </w:rPr>
        <w:t>(8):</w:t>
      </w:r>
      <w:r w:rsidRPr="00656EAE">
        <w:rPr>
          <w:bCs/>
        </w:rPr>
        <w:t xml:space="preserve"> 943–951</w:t>
      </w:r>
    </w:p>
    <w:p w14:paraId="1F2EBEB3" w14:textId="77777777" w:rsidR="00C6329E" w:rsidRPr="00656EAE" w:rsidRDefault="00C6329E" w:rsidP="00C6329E">
      <w:pPr>
        <w:pStyle w:val="Listenabsatz"/>
        <w:numPr>
          <w:ilvl w:val="0"/>
          <w:numId w:val="13"/>
        </w:numPr>
        <w:spacing w:after="120"/>
        <w:rPr>
          <w:rStyle w:val="Hyperlink"/>
          <w:lang w:val="en-US"/>
        </w:rPr>
      </w:pPr>
      <w:hyperlink r:id="rId13" w:history="1">
        <w:r w:rsidRPr="00656EAE">
          <w:rPr>
            <w:rStyle w:val="Hyperlink"/>
            <w:lang w:val="en-US"/>
          </w:rPr>
          <w:t>https://rdcu.be/bFClo</w:t>
        </w:r>
      </w:hyperlink>
    </w:p>
    <w:p w14:paraId="5F56A65A" w14:textId="77777777" w:rsidR="00C6329E" w:rsidRPr="00D1333C" w:rsidRDefault="00C6329E" w:rsidP="00C6329E">
      <w:pPr>
        <w:spacing w:after="120"/>
        <w:rPr>
          <w:u w:val="single"/>
        </w:rPr>
      </w:pPr>
      <w:r w:rsidRPr="00D1333C">
        <w:rPr>
          <w:u w:val="single"/>
        </w:rPr>
        <w:t>Kernaussagen:</w:t>
      </w:r>
    </w:p>
    <w:p w14:paraId="1A38B5EC" w14:textId="77777777" w:rsidR="00C6329E" w:rsidRDefault="00C6329E" w:rsidP="00C6329E">
      <w:pPr>
        <w:pStyle w:val="Listenabsatz"/>
        <w:numPr>
          <w:ilvl w:val="0"/>
          <w:numId w:val="15"/>
        </w:numPr>
        <w:spacing w:after="120"/>
      </w:pPr>
      <w:r>
        <w:t xml:space="preserve">Die Gleichstellung der Geschlechter, gemessen mit dem Gender </w:t>
      </w:r>
      <w:proofErr w:type="spellStart"/>
      <w:r>
        <w:t>Inequality</w:t>
      </w:r>
      <w:proofErr w:type="spellEnd"/>
      <w:r>
        <w:t xml:space="preserve"> Index (GII), steht in positivem Zusammenhang mit der Lebenserwartung von Männern: Je höher der Grad der Gleichstellung der Geschlechter, desto geringer ist der Geschlechterunterschied in der Lebenserwartung.</w:t>
      </w:r>
    </w:p>
    <w:p w14:paraId="0CA7CF71" w14:textId="77777777" w:rsidR="00C6329E" w:rsidRDefault="00C6329E" w:rsidP="00C6329E">
      <w:pPr>
        <w:spacing w:after="120"/>
      </w:pPr>
    </w:p>
    <w:p w14:paraId="1CCDD814" w14:textId="77777777" w:rsidR="00C6329E" w:rsidRPr="001B53D0" w:rsidRDefault="00C6329E" w:rsidP="00C6329E">
      <w:pPr>
        <w:pBdr>
          <w:top w:val="single" w:sz="4" w:space="1" w:color="auto"/>
          <w:left w:val="single" w:sz="4" w:space="4" w:color="auto"/>
          <w:bottom w:val="single" w:sz="4" w:space="1" w:color="auto"/>
          <w:right w:val="single" w:sz="4" w:space="4" w:color="auto"/>
        </w:pBdr>
        <w:spacing w:after="120"/>
        <w:rPr>
          <w:lang w:val="en-US"/>
        </w:rPr>
      </w:pPr>
      <w:r w:rsidRPr="001B53D0">
        <w:rPr>
          <w:lang w:val="en-US"/>
        </w:rPr>
        <w:t xml:space="preserve">World health Organization </w:t>
      </w:r>
      <w:r>
        <w:rPr>
          <w:lang w:val="en-US"/>
        </w:rPr>
        <w:t xml:space="preserve">(WHO) </w:t>
      </w:r>
      <w:r w:rsidRPr="001B53D0">
        <w:rPr>
          <w:lang w:val="en-US"/>
        </w:rPr>
        <w:t xml:space="preserve">(2019) </w:t>
      </w:r>
      <w:r w:rsidRPr="001B53D0">
        <w:rPr>
          <w:b/>
          <w:lang w:val="en-US"/>
        </w:rPr>
        <w:t>Healthy, prosperous lives for all: the European Health Equity Status Report</w:t>
      </w:r>
      <w:r>
        <w:rPr>
          <w:b/>
          <w:lang w:val="en-US"/>
        </w:rPr>
        <w:t>.</w:t>
      </w:r>
      <w:r w:rsidRPr="001B53D0">
        <w:rPr>
          <w:lang w:val="en-US"/>
        </w:rPr>
        <w:t xml:space="preserve"> </w:t>
      </w:r>
      <w:r>
        <w:rPr>
          <w:lang w:val="en-US"/>
        </w:rPr>
        <w:t xml:space="preserve">WHO </w:t>
      </w:r>
      <w:r w:rsidRPr="001B53D0">
        <w:rPr>
          <w:lang w:val="en-US"/>
        </w:rPr>
        <w:t>Regional Office for Europe</w:t>
      </w:r>
      <w:r>
        <w:rPr>
          <w:lang w:val="en-US"/>
        </w:rPr>
        <w:t>, Copenhagen</w:t>
      </w:r>
    </w:p>
    <w:p w14:paraId="1FE72952" w14:textId="77777777" w:rsidR="00C6329E" w:rsidRPr="007A02EA" w:rsidRDefault="00C6329E" w:rsidP="00C6329E">
      <w:pPr>
        <w:spacing w:after="120"/>
        <w:ind w:left="360"/>
      </w:pPr>
      <w:r>
        <w:t xml:space="preserve">Fact Sheet: </w:t>
      </w:r>
    </w:p>
    <w:p w14:paraId="0228EF28" w14:textId="26068EBF" w:rsidR="00C6329E" w:rsidRDefault="00C6329E" w:rsidP="00C6329E">
      <w:pPr>
        <w:pStyle w:val="Listenabsatz"/>
        <w:numPr>
          <w:ilvl w:val="0"/>
          <w:numId w:val="13"/>
        </w:numPr>
        <w:spacing w:after="120"/>
        <w:rPr>
          <w:rStyle w:val="Hyperlink"/>
          <w:lang w:val="en-US"/>
        </w:rPr>
      </w:pPr>
      <w:hyperlink r:id="rId14" w:history="1">
        <w:r w:rsidRPr="001B53D0">
          <w:rPr>
            <w:rStyle w:val="Hyperlink"/>
            <w:lang w:val="en-US"/>
          </w:rPr>
          <w:t>http://www.euro.who.int/__data/assets/pdf_file/0018/412506/HESR-fact-sheet-1_G.pdf?ua=1</w:t>
        </w:r>
      </w:hyperlink>
    </w:p>
    <w:p w14:paraId="776B8621" w14:textId="77777777" w:rsidR="00C6329E" w:rsidRPr="00D1333C" w:rsidRDefault="00C6329E" w:rsidP="00C6329E">
      <w:pPr>
        <w:spacing w:after="120"/>
        <w:rPr>
          <w:u w:val="single"/>
        </w:rPr>
      </w:pPr>
      <w:bookmarkStart w:id="0" w:name="_GoBack"/>
      <w:bookmarkEnd w:id="0"/>
      <w:r w:rsidRPr="00D1333C">
        <w:rPr>
          <w:u w:val="single"/>
        </w:rPr>
        <w:t>Kernaussagen:</w:t>
      </w:r>
    </w:p>
    <w:p w14:paraId="73058D75" w14:textId="77777777" w:rsidR="00C6329E" w:rsidRDefault="00C6329E" w:rsidP="00C6329E">
      <w:pPr>
        <w:pStyle w:val="Listenabsatz"/>
        <w:numPr>
          <w:ilvl w:val="0"/>
          <w:numId w:val="15"/>
        </w:numPr>
        <w:spacing w:after="120"/>
      </w:pPr>
      <w:r w:rsidRPr="00656EAE">
        <w:t xml:space="preserve">Der erste Statusbericht der Weltgesundheitsorganisation zeigt, dass die gesundheitliche Chancengleichheit in Europa entweder </w:t>
      </w:r>
      <w:proofErr w:type="gramStart"/>
      <w:r w:rsidRPr="00656EAE">
        <w:t>gleich geblieben</w:t>
      </w:r>
      <w:proofErr w:type="gramEnd"/>
      <w:r w:rsidRPr="00656EAE">
        <w:t xml:space="preserve"> ist oder sich trotz der Versuche der Regierungen, sie anzugehen, verschlechtert hat.</w:t>
      </w:r>
    </w:p>
    <w:p w14:paraId="3710C0CF" w14:textId="77777777" w:rsidR="00C6329E" w:rsidRDefault="00C6329E" w:rsidP="00C6329E">
      <w:pPr>
        <w:pStyle w:val="Listenabsatz"/>
        <w:numPr>
          <w:ilvl w:val="0"/>
          <w:numId w:val="15"/>
        </w:numPr>
        <w:spacing w:after="120"/>
        <w:rPr>
          <w:lang w:val="en-US"/>
        </w:rPr>
      </w:pPr>
      <w:r w:rsidRPr="007A02EA">
        <w:rPr>
          <w:lang w:val="en-US"/>
        </w:rPr>
        <w:t>Key findings</w:t>
      </w:r>
      <w:r>
        <w:rPr>
          <w:lang w:val="en-US"/>
        </w:rPr>
        <w:t xml:space="preserve"> </w:t>
      </w:r>
      <w:proofErr w:type="spellStart"/>
      <w:r>
        <w:rPr>
          <w:lang w:val="en-US"/>
        </w:rPr>
        <w:t>hier</w:t>
      </w:r>
      <w:proofErr w:type="spellEnd"/>
      <w:r w:rsidRPr="007A02EA">
        <w:rPr>
          <w:lang w:val="en-US"/>
        </w:rPr>
        <w:t xml:space="preserve">: </w:t>
      </w:r>
      <w:hyperlink r:id="rId15" w:history="1">
        <w:r w:rsidRPr="00B22299">
          <w:rPr>
            <w:rStyle w:val="Hyperlink"/>
            <w:lang w:val="en-US"/>
          </w:rPr>
          <w:t>http://www.euro.who.int/en/media-centre/sections/press-releases/2019/progress-on-health-equity-is-stalling-across-europe-new-who-report-reveals-gaps-can-be-reduced-within-the-lifetime-of-a-single-government</w:t>
        </w:r>
      </w:hyperlink>
    </w:p>
    <w:p w14:paraId="18C1900E" w14:textId="77777777" w:rsidR="00C6329E" w:rsidRDefault="00C6329E" w:rsidP="00C6329E">
      <w:pPr>
        <w:spacing w:after="120"/>
        <w:rPr>
          <w:lang w:val="en-US"/>
        </w:rPr>
      </w:pPr>
    </w:p>
    <w:p w14:paraId="54C02E2B" w14:textId="77777777" w:rsidR="00C6329E" w:rsidRPr="001B53D0" w:rsidRDefault="00C6329E" w:rsidP="00C6329E">
      <w:pPr>
        <w:pBdr>
          <w:top w:val="single" w:sz="4" w:space="1" w:color="auto"/>
          <w:left w:val="single" w:sz="4" w:space="4" w:color="auto"/>
          <w:bottom w:val="single" w:sz="4" w:space="1" w:color="auto"/>
          <w:right w:val="single" w:sz="4" w:space="4" w:color="auto"/>
        </w:pBdr>
        <w:spacing w:after="120"/>
        <w:rPr>
          <w:lang w:val="en-US"/>
        </w:rPr>
      </w:pPr>
      <w:r w:rsidRPr="001B53D0">
        <w:rPr>
          <w:lang w:val="en-US"/>
        </w:rPr>
        <w:lastRenderedPageBreak/>
        <w:t xml:space="preserve">World health Organization </w:t>
      </w:r>
      <w:r>
        <w:rPr>
          <w:lang w:val="en-US"/>
        </w:rPr>
        <w:t xml:space="preserve">(WHO) </w:t>
      </w:r>
      <w:r w:rsidRPr="001B53D0">
        <w:rPr>
          <w:lang w:val="en-US"/>
        </w:rPr>
        <w:t xml:space="preserve">(2019) </w:t>
      </w:r>
      <w:r w:rsidRPr="007A02EA">
        <w:rPr>
          <w:b/>
          <w:lang w:val="en-US"/>
        </w:rPr>
        <w:t>World health statistics 2019: monitoring health for the SDGs, sustainable development goals</w:t>
      </w:r>
      <w:r>
        <w:rPr>
          <w:b/>
          <w:lang w:val="en-US"/>
        </w:rPr>
        <w:t>.</w:t>
      </w:r>
      <w:r w:rsidRPr="001B53D0">
        <w:rPr>
          <w:lang w:val="en-US"/>
        </w:rPr>
        <w:t xml:space="preserve"> </w:t>
      </w:r>
      <w:r>
        <w:rPr>
          <w:lang w:val="en-US"/>
        </w:rPr>
        <w:t xml:space="preserve">WHO, </w:t>
      </w:r>
      <w:proofErr w:type="gramStart"/>
      <w:r>
        <w:rPr>
          <w:lang w:val="en-US"/>
        </w:rPr>
        <w:t>Geneva</w:t>
      </w:r>
      <w:proofErr w:type="gramEnd"/>
    </w:p>
    <w:p w14:paraId="6BB81397" w14:textId="77777777" w:rsidR="00C6329E" w:rsidRPr="007A02EA" w:rsidRDefault="00C6329E" w:rsidP="00C6329E">
      <w:pPr>
        <w:pStyle w:val="Listenabsatz"/>
        <w:numPr>
          <w:ilvl w:val="0"/>
          <w:numId w:val="13"/>
        </w:numPr>
        <w:spacing w:after="120"/>
        <w:rPr>
          <w:rStyle w:val="Hyperlink"/>
          <w:lang w:val="en-US"/>
        </w:rPr>
      </w:pPr>
      <w:hyperlink r:id="rId16" w:history="1">
        <w:r w:rsidRPr="00B22299">
          <w:rPr>
            <w:rStyle w:val="Hyperlink"/>
            <w:lang w:val="en-US"/>
          </w:rPr>
          <w:t>https://apps.who.int/iris/bitstream/handle/10665/324835/9789241565707-eng.pdf?ua=1</w:t>
        </w:r>
      </w:hyperlink>
    </w:p>
    <w:p w14:paraId="0FD47E3F" w14:textId="77777777" w:rsidR="00C6329E" w:rsidRPr="007A02EA" w:rsidRDefault="00C6329E" w:rsidP="00C6329E">
      <w:pPr>
        <w:spacing w:after="120"/>
        <w:rPr>
          <w:lang w:val="en-US"/>
        </w:rPr>
      </w:pPr>
      <w:proofErr w:type="spellStart"/>
      <w:r>
        <w:rPr>
          <w:lang w:val="en-US"/>
        </w:rPr>
        <w:t>Kapitel</w:t>
      </w:r>
      <w:proofErr w:type="spellEnd"/>
      <w:r>
        <w:rPr>
          <w:lang w:val="en-US"/>
        </w:rPr>
        <w:t xml:space="preserve"> </w:t>
      </w:r>
      <w:proofErr w:type="spellStart"/>
      <w:r>
        <w:rPr>
          <w:lang w:val="en-US"/>
        </w:rPr>
        <w:t>zur</w:t>
      </w:r>
      <w:proofErr w:type="spellEnd"/>
      <w:r>
        <w:rPr>
          <w:lang w:val="en-US"/>
        </w:rPr>
        <w:t xml:space="preserve"> </w:t>
      </w:r>
      <w:proofErr w:type="spellStart"/>
      <w:r>
        <w:rPr>
          <w:lang w:val="en-US"/>
        </w:rPr>
        <w:t>Lebenserwartung</w:t>
      </w:r>
      <w:proofErr w:type="spellEnd"/>
      <w:r>
        <w:rPr>
          <w:lang w:val="en-US"/>
        </w:rPr>
        <w:t xml:space="preserve"> </w:t>
      </w:r>
      <w:proofErr w:type="spellStart"/>
      <w:r>
        <w:rPr>
          <w:lang w:val="en-US"/>
        </w:rPr>
        <w:t>Seite</w:t>
      </w:r>
      <w:proofErr w:type="spellEnd"/>
      <w:r>
        <w:rPr>
          <w:lang w:val="en-US"/>
        </w:rPr>
        <w:t xml:space="preserve"> 3 - 9</w:t>
      </w:r>
    </w:p>
    <w:p w14:paraId="781FA592" w14:textId="7D228D40" w:rsidR="00BF78EA" w:rsidRDefault="00BF78EA" w:rsidP="00BF78EA">
      <w:pPr>
        <w:spacing w:after="120"/>
      </w:pPr>
    </w:p>
    <w:sectPr w:rsidR="00BF78EA" w:rsidSect="00D74E7C">
      <w:headerReference w:type="default" r:id="rId1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17AD3" w14:textId="77777777" w:rsidR="00206299" w:rsidRDefault="00206299" w:rsidP="00206299">
      <w:pPr>
        <w:spacing w:after="0" w:line="240" w:lineRule="auto"/>
      </w:pPr>
      <w:r>
        <w:separator/>
      </w:r>
    </w:p>
  </w:endnote>
  <w:endnote w:type="continuationSeparator" w:id="0">
    <w:p w14:paraId="19BA6431" w14:textId="77777777" w:rsidR="00206299" w:rsidRDefault="00206299" w:rsidP="0020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alaSansPro-Regular">
    <w:altName w:val="ScalaSans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F87E2" w14:textId="77777777" w:rsidR="00206299" w:rsidRDefault="00206299" w:rsidP="00206299">
      <w:pPr>
        <w:spacing w:after="0" w:line="240" w:lineRule="auto"/>
      </w:pPr>
      <w:r>
        <w:separator/>
      </w:r>
    </w:p>
  </w:footnote>
  <w:footnote w:type="continuationSeparator" w:id="0">
    <w:p w14:paraId="0BE823CB" w14:textId="77777777" w:rsidR="00206299" w:rsidRDefault="00206299" w:rsidP="0020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E8F2" w14:textId="67BD1492" w:rsidR="00206299" w:rsidRDefault="00095E8D" w:rsidP="00095E8D">
    <w:pPr>
      <w:jc w:val="right"/>
    </w:pPr>
    <w:r w:rsidRPr="009B7EC6">
      <w:rPr>
        <w:b/>
      </w:rPr>
      <w:t>Tag der Ungleichen Lebenserwartung</w:t>
    </w:r>
    <w:r>
      <w:rPr>
        <w:b/>
      </w:rPr>
      <w:t xml:space="preserve"> </w:t>
    </w:r>
    <w:r w:rsidR="00206299">
      <w:t>Hintergrundtext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7D78"/>
    <w:multiLevelType w:val="hybridMultilevel"/>
    <w:tmpl w:val="85BE37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D42B93"/>
    <w:multiLevelType w:val="hybridMultilevel"/>
    <w:tmpl w:val="B41E63C6"/>
    <w:lvl w:ilvl="0" w:tplc="6CBE0FD4">
      <w:start w:val="1"/>
      <w:numFmt w:val="bullet"/>
      <w:lvlText w:val="-"/>
      <w:lvlJc w:val="left"/>
      <w:pPr>
        <w:ind w:left="360" w:hanging="360"/>
      </w:pPr>
      <w:rPr>
        <w:rFonts w:ascii="Calibri" w:hAnsi="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C506F9E"/>
    <w:multiLevelType w:val="hybridMultilevel"/>
    <w:tmpl w:val="9A6E145E"/>
    <w:lvl w:ilvl="0" w:tplc="6CBE0F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8A2186"/>
    <w:multiLevelType w:val="hybridMultilevel"/>
    <w:tmpl w:val="76FE5C7A"/>
    <w:lvl w:ilvl="0" w:tplc="6CBE0F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377238"/>
    <w:multiLevelType w:val="hybridMultilevel"/>
    <w:tmpl w:val="20E2CE02"/>
    <w:lvl w:ilvl="0" w:tplc="6CBE0F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B72C00"/>
    <w:multiLevelType w:val="hybridMultilevel"/>
    <w:tmpl w:val="770800BC"/>
    <w:lvl w:ilvl="0" w:tplc="6CBE0F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223514"/>
    <w:multiLevelType w:val="hybridMultilevel"/>
    <w:tmpl w:val="048857C8"/>
    <w:lvl w:ilvl="0" w:tplc="6CBE0F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287C1C"/>
    <w:multiLevelType w:val="hybridMultilevel"/>
    <w:tmpl w:val="E2685C58"/>
    <w:lvl w:ilvl="0" w:tplc="6CBE0FD4">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0527844"/>
    <w:multiLevelType w:val="hybridMultilevel"/>
    <w:tmpl w:val="18421A6A"/>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20670E"/>
    <w:multiLevelType w:val="hybridMultilevel"/>
    <w:tmpl w:val="559496EE"/>
    <w:lvl w:ilvl="0" w:tplc="F81ABEC0">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4D22150"/>
    <w:multiLevelType w:val="hybridMultilevel"/>
    <w:tmpl w:val="82684998"/>
    <w:lvl w:ilvl="0" w:tplc="25F486BE">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9116CE"/>
    <w:multiLevelType w:val="hybridMultilevel"/>
    <w:tmpl w:val="1E503BC6"/>
    <w:lvl w:ilvl="0" w:tplc="6CBE0F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BF471C"/>
    <w:multiLevelType w:val="hybridMultilevel"/>
    <w:tmpl w:val="8AEAB3F0"/>
    <w:lvl w:ilvl="0" w:tplc="F81ABEC0">
      <w:numFmt w:val="bullet"/>
      <w:lvlText w:val="-"/>
      <w:lvlJc w:val="left"/>
      <w:pPr>
        <w:ind w:left="360" w:hanging="360"/>
      </w:pPr>
      <w:rPr>
        <w:rFonts w:ascii="Calibri" w:eastAsiaTheme="minorHAnsi" w:hAnsi="Calibri"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7F5B2A"/>
    <w:multiLevelType w:val="hybridMultilevel"/>
    <w:tmpl w:val="69AEB8D4"/>
    <w:lvl w:ilvl="0" w:tplc="6CBE0F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85083B"/>
    <w:multiLevelType w:val="hybridMultilevel"/>
    <w:tmpl w:val="F5F2DF7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9"/>
  </w:num>
  <w:num w:numId="5">
    <w:abstractNumId w:val="12"/>
  </w:num>
  <w:num w:numId="6">
    <w:abstractNumId w:val="5"/>
  </w:num>
  <w:num w:numId="7">
    <w:abstractNumId w:val="8"/>
  </w:num>
  <w:num w:numId="8">
    <w:abstractNumId w:val="1"/>
  </w:num>
  <w:num w:numId="9">
    <w:abstractNumId w:val="0"/>
  </w:num>
  <w:num w:numId="10">
    <w:abstractNumId w:val="7"/>
  </w:num>
  <w:num w:numId="11">
    <w:abstractNumId w:val="4"/>
  </w:num>
  <w:num w:numId="12">
    <w:abstractNumId w:val="10"/>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99"/>
    <w:rsid w:val="00003F58"/>
    <w:rsid w:val="00007D9B"/>
    <w:rsid w:val="00014BC4"/>
    <w:rsid w:val="00016AE7"/>
    <w:rsid w:val="000302C6"/>
    <w:rsid w:val="00041B6C"/>
    <w:rsid w:val="00055195"/>
    <w:rsid w:val="00062EE2"/>
    <w:rsid w:val="00066EF4"/>
    <w:rsid w:val="00075D64"/>
    <w:rsid w:val="000837F3"/>
    <w:rsid w:val="00084DD3"/>
    <w:rsid w:val="00095E8D"/>
    <w:rsid w:val="000A0D3F"/>
    <w:rsid w:val="000A20F3"/>
    <w:rsid w:val="000A4A29"/>
    <w:rsid w:val="000D559C"/>
    <w:rsid w:val="000E2D2B"/>
    <w:rsid w:val="00107102"/>
    <w:rsid w:val="001126C6"/>
    <w:rsid w:val="00114880"/>
    <w:rsid w:val="00133AC6"/>
    <w:rsid w:val="00135CB5"/>
    <w:rsid w:val="00147D98"/>
    <w:rsid w:val="001521B9"/>
    <w:rsid w:val="001639BE"/>
    <w:rsid w:val="00166CF3"/>
    <w:rsid w:val="00172B69"/>
    <w:rsid w:val="001800D3"/>
    <w:rsid w:val="00185DAD"/>
    <w:rsid w:val="001862E1"/>
    <w:rsid w:val="00192FDD"/>
    <w:rsid w:val="001B3B70"/>
    <w:rsid w:val="001D22D2"/>
    <w:rsid w:val="001D659F"/>
    <w:rsid w:val="001E708B"/>
    <w:rsid w:val="001F06DC"/>
    <w:rsid w:val="001F575C"/>
    <w:rsid w:val="001F5D0E"/>
    <w:rsid w:val="002010A8"/>
    <w:rsid w:val="00206299"/>
    <w:rsid w:val="00211FFE"/>
    <w:rsid w:val="0021262F"/>
    <w:rsid w:val="00222C79"/>
    <w:rsid w:val="00223B87"/>
    <w:rsid w:val="00223BC3"/>
    <w:rsid w:val="00251015"/>
    <w:rsid w:val="0026457F"/>
    <w:rsid w:val="00273909"/>
    <w:rsid w:val="002755DA"/>
    <w:rsid w:val="00275FC9"/>
    <w:rsid w:val="00296F68"/>
    <w:rsid w:val="002B6A6D"/>
    <w:rsid w:val="002C4249"/>
    <w:rsid w:val="002D7296"/>
    <w:rsid w:val="002F01A0"/>
    <w:rsid w:val="002F03A9"/>
    <w:rsid w:val="002F38AA"/>
    <w:rsid w:val="002F7359"/>
    <w:rsid w:val="003078C3"/>
    <w:rsid w:val="00307ECB"/>
    <w:rsid w:val="00313CB4"/>
    <w:rsid w:val="00324EDF"/>
    <w:rsid w:val="00325111"/>
    <w:rsid w:val="003372F2"/>
    <w:rsid w:val="00341BC4"/>
    <w:rsid w:val="00346203"/>
    <w:rsid w:val="00350D5A"/>
    <w:rsid w:val="00354219"/>
    <w:rsid w:val="00363775"/>
    <w:rsid w:val="003768C0"/>
    <w:rsid w:val="00376BC9"/>
    <w:rsid w:val="003874D7"/>
    <w:rsid w:val="003952E6"/>
    <w:rsid w:val="003B1273"/>
    <w:rsid w:val="003C534F"/>
    <w:rsid w:val="0042672E"/>
    <w:rsid w:val="00435AA3"/>
    <w:rsid w:val="004462B5"/>
    <w:rsid w:val="0048316C"/>
    <w:rsid w:val="00495741"/>
    <w:rsid w:val="00496412"/>
    <w:rsid w:val="00496453"/>
    <w:rsid w:val="00497B0F"/>
    <w:rsid w:val="004A50A0"/>
    <w:rsid w:val="004C0A1B"/>
    <w:rsid w:val="004C5BD1"/>
    <w:rsid w:val="004D111D"/>
    <w:rsid w:val="004D2012"/>
    <w:rsid w:val="004E0BC9"/>
    <w:rsid w:val="004E2624"/>
    <w:rsid w:val="004F750F"/>
    <w:rsid w:val="005026B9"/>
    <w:rsid w:val="00514F46"/>
    <w:rsid w:val="00527896"/>
    <w:rsid w:val="005338F5"/>
    <w:rsid w:val="00537510"/>
    <w:rsid w:val="00551351"/>
    <w:rsid w:val="00552A8D"/>
    <w:rsid w:val="005542D1"/>
    <w:rsid w:val="0055737E"/>
    <w:rsid w:val="005601BF"/>
    <w:rsid w:val="00575529"/>
    <w:rsid w:val="00594DB9"/>
    <w:rsid w:val="005960A8"/>
    <w:rsid w:val="005B43C8"/>
    <w:rsid w:val="005B4D1A"/>
    <w:rsid w:val="005B6B03"/>
    <w:rsid w:val="005C069D"/>
    <w:rsid w:val="005C3A58"/>
    <w:rsid w:val="005D2598"/>
    <w:rsid w:val="005D545B"/>
    <w:rsid w:val="005E3428"/>
    <w:rsid w:val="0060746D"/>
    <w:rsid w:val="0060775B"/>
    <w:rsid w:val="006128C0"/>
    <w:rsid w:val="0063218A"/>
    <w:rsid w:val="00633E47"/>
    <w:rsid w:val="00634694"/>
    <w:rsid w:val="0064001D"/>
    <w:rsid w:val="00654519"/>
    <w:rsid w:val="00657527"/>
    <w:rsid w:val="00680B97"/>
    <w:rsid w:val="00683819"/>
    <w:rsid w:val="00683B3A"/>
    <w:rsid w:val="006A34B8"/>
    <w:rsid w:val="006A353A"/>
    <w:rsid w:val="006A70BE"/>
    <w:rsid w:val="006B217B"/>
    <w:rsid w:val="006B7871"/>
    <w:rsid w:val="006C01DE"/>
    <w:rsid w:val="006D77E8"/>
    <w:rsid w:val="006D79F0"/>
    <w:rsid w:val="006E0E33"/>
    <w:rsid w:val="006E4182"/>
    <w:rsid w:val="006F0A14"/>
    <w:rsid w:val="00705BE1"/>
    <w:rsid w:val="007072DD"/>
    <w:rsid w:val="00712017"/>
    <w:rsid w:val="00722299"/>
    <w:rsid w:val="00727314"/>
    <w:rsid w:val="00731F66"/>
    <w:rsid w:val="00744FD6"/>
    <w:rsid w:val="00751316"/>
    <w:rsid w:val="00760775"/>
    <w:rsid w:val="007721F1"/>
    <w:rsid w:val="00772422"/>
    <w:rsid w:val="0077304A"/>
    <w:rsid w:val="00795BBD"/>
    <w:rsid w:val="007B1388"/>
    <w:rsid w:val="007C7E53"/>
    <w:rsid w:val="007D5487"/>
    <w:rsid w:val="007D58F9"/>
    <w:rsid w:val="007E720E"/>
    <w:rsid w:val="00807FB6"/>
    <w:rsid w:val="00811204"/>
    <w:rsid w:val="0081782E"/>
    <w:rsid w:val="008505A8"/>
    <w:rsid w:val="00852852"/>
    <w:rsid w:val="008543F5"/>
    <w:rsid w:val="008550B0"/>
    <w:rsid w:val="0086761E"/>
    <w:rsid w:val="00886E0B"/>
    <w:rsid w:val="00896F9B"/>
    <w:rsid w:val="008B37D3"/>
    <w:rsid w:val="008C601C"/>
    <w:rsid w:val="008D28C6"/>
    <w:rsid w:val="008E5409"/>
    <w:rsid w:val="008E6EBF"/>
    <w:rsid w:val="00907AF2"/>
    <w:rsid w:val="0091685F"/>
    <w:rsid w:val="00933CB8"/>
    <w:rsid w:val="00940CA4"/>
    <w:rsid w:val="009421AA"/>
    <w:rsid w:val="00942B26"/>
    <w:rsid w:val="00946964"/>
    <w:rsid w:val="0094755B"/>
    <w:rsid w:val="0095281F"/>
    <w:rsid w:val="00955BF4"/>
    <w:rsid w:val="00960407"/>
    <w:rsid w:val="009676DF"/>
    <w:rsid w:val="00970F75"/>
    <w:rsid w:val="009778A9"/>
    <w:rsid w:val="00982032"/>
    <w:rsid w:val="00982A19"/>
    <w:rsid w:val="009927F6"/>
    <w:rsid w:val="00993544"/>
    <w:rsid w:val="009B7EC6"/>
    <w:rsid w:val="009D5945"/>
    <w:rsid w:val="009D6F5D"/>
    <w:rsid w:val="009E5B48"/>
    <w:rsid w:val="009F7D7C"/>
    <w:rsid w:val="009F7EFE"/>
    <w:rsid w:val="00A17035"/>
    <w:rsid w:val="00A2480D"/>
    <w:rsid w:val="00A25262"/>
    <w:rsid w:val="00A374FE"/>
    <w:rsid w:val="00A455F4"/>
    <w:rsid w:val="00A47A10"/>
    <w:rsid w:val="00A52923"/>
    <w:rsid w:val="00A57D03"/>
    <w:rsid w:val="00A615FC"/>
    <w:rsid w:val="00A8324F"/>
    <w:rsid w:val="00A83FF2"/>
    <w:rsid w:val="00A85401"/>
    <w:rsid w:val="00A965D1"/>
    <w:rsid w:val="00AB7909"/>
    <w:rsid w:val="00AC009E"/>
    <w:rsid w:val="00AC1BA8"/>
    <w:rsid w:val="00AC2CBC"/>
    <w:rsid w:val="00B068FE"/>
    <w:rsid w:val="00B14732"/>
    <w:rsid w:val="00B17BCC"/>
    <w:rsid w:val="00B27603"/>
    <w:rsid w:val="00B36844"/>
    <w:rsid w:val="00B37311"/>
    <w:rsid w:val="00B55FE3"/>
    <w:rsid w:val="00B56BFE"/>
    <w:rsid w:val="00B56CB7"/>
    <w:rsid w:val="00B64D53"/>
    <w:rsid w:val="00B665E0"/>
    <w:rsid w:val="00B91E73"/>
    <w:rsid w:val="00B95002"/>
    <w:rsid w:val="00B959F4"/>
    <w:rsid w:val="00BA6484"/>
    <w:rsid w:val="00BB5CFA"/>
    <w:rsid w:val="00BC176E"/>
    <w:rsid w:val="00BC25B4"/>
    <w:rsid w:val="00BC57F7"/>
    <w:rsid w:val="00BC6B78"/>
    <w:rsid w:val="00BD255C"/>
    <w:rsid w:val="00BD31E5"/>
    <w:rsid w:val="00BD6350"/>
    <w:rsid w:val="00BD7D16"/>
    <w:rsid w:val="00BF78EA"/>
    <w:rsid w:val="00C054C1"/>
    <w:rsid w:val="00C079AB"/>
    <w:rsid w:val="00C15BFF"/>
    <w:rsid w:val="00C166F4"/>
    <w:rsid w:val="00C306B4"/>
    <w:rsid w:val="00C32B63"/>
    <w:rsid w:val="00C440B6"/>
    <w:rsid w:val="00C539F5"/>
    <w:rsid w:val="00C53A29"/>
    <w:rsid w:val="00C54AB5"/>
    <w:rsid w:val="00C56966"/>
    <w:rsid w:val="00C6329E"/>
    <w:rsid w:val="00C633AF"/>
    <w:rsid w:val="00C66D46"/>
    <w:rsid w:val="00C736CD"/>
    <w:rsid w:val="00C7446D"/>
    <w:rsid w:val="00C96B9F"/>
    <w:rsid w:val="00CB0333"/>
    <w:rsid w:val="00CD5F3D"/>
    <w:rsid w:val="00CE1E38"/>
    <w:rsid w:val="00CE5C50"/>
    <w:rsid w:val="00D1314D"/>
    <w:rsid w:val="00D1748C"/>
    <w:rsid w:val="00D23F3F"/>
    <w:rsid w:val="00D30431"/>
    <w:rsid w:val="00D30539"/>
    <w:rsid w:val="00D34A22"/>
    <w:rsid w:val="00D63900"/>
    <w:rsid w:val="00D647AF"/>
    <w:rsid w:val="00D671EF"/>
    <w:rsid w:val="00D74E7C"/>
    <w:rsid w:val="00D7691A"/>
    <w:rsid w:val="00D8738F"/>
    <w:rsid w:val="00D930E4"/>
    <w:rsid w:val="00DB14A3"/>
    <w:rsid w:val="00DB194D"/>
    <w:rsid w:val="00DB4689"/>
    <w:rsid w:val="00DB5AD5"/>
    <w:rsid w:val="00DC343B"/>
    <w:rsid w:val="00DD1E99"/>
    <w:rsid w:val="00E008DE"/>
    <w:rsid w:val="00E018E2"/>
    <w:rsid w:val="00E3039C"/>
    <w:rsid w:val="00E4086A"/>
    <w:rsid w:val="00E42FB4"/>
    <w:rsid w:val="00E4375D"/>
    <w:rsid w:val="00E456B7"/>
    <w:rsid w:val="00E54AF7"/>
    <w:rsid w:val="00E66E06"/>
    <w:rsid w:val="00E8601D"/>
    <w:rsid w:val="00E91C7C"/>
    <w:rsid w:val="00E9638F"/>
    <w:rsid w:val="00EA4775"/>
    <w:rsid w:val="00EC2CC9"/>
    <w:rsid w:val="00EC4BB1"/>
    <w:rsid w:val="00EC749F"/>
    <w:rsid w:val="00ED0E91"/>
    <w:rsid w:val="00F17206"/>
    <w:rsid w:val="00F17C98"/>
    <w:rsid w:val="00F22598"/>
    <w:rsid w:val="00F27298"/>
    <w:rsid w:val="00F2780D"/>
    <w:rsid w:val="00F3703A"/>
    <w:rsid w:val="00F40D8B"/>
    <w:rsid w:val="00F53052"/>
    <w:rsid w:val="00F76456"/>
    <w:rsid w:val="00F8700C"/>
    <w:rsid w:val="00F90844"/>
    <w:rsid w:val="00F91F19"/>
    <w:rsid w:val="00FA3A28"/>
    <w:rsid w:val="00FA7CD4"/>
    <w:rsid w:val="00FB043B"/>
    <w:rsid w:val="00FB4D56"/>
    <w:rsid w:val="00FB5C0E"/>
    <w:rsid w:val="00FB60BE"/>
    <w:rsid w:val="00FB649C"/>
    <w:rsid w:val="00FD37A4"/>
    <w:rsid w:val="00FD4BB2"/>
    <w:rsid w:val="00FE1797"/>
    <w:rsid w:val="00FE6E48"/>
    <w:rsid w:val="00FF169B"/>
    <w:rsid w:val="00FF56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AA82"/>
  <w15:docId w15:val="{C1B83D1F-115F-4B5D-8A09-58887045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6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6299"/>
  </w:style>
  <w:style w:type="paragraph" w:styleId="Fuzeile">
    <w:name w:val="footer"/>
    <w:basedOn w:val="Standard"/>
    <w:link w:val="FuzeileZchn"/>
    <w:uiPriority w:val="99"/>
    <w:unhideWhenUsed/>
    <w:rsid w:val="00206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6299"/>
  </w:style>
  <w:style w:type="paragraph" w:styleId="Listenabsatz">
    <w:name w:val="List Paragraph"/>
    <w:basedOn w:val="Standard"/>
    <w:uiPriority w:val="34"/>
    <w:qFormat/>
    <w:rsid w:val="009B7EC6"/>
    <w:pPr>
      <w:ind w:left="720"/>
      <w:contextualSpacing/>
    </w:pPr>
  </w:style>
  <w:style w:type="paragraph" w:customStyle="1" w:styleId="Default">
    <w:name w:val="Default"/>
    <w:rsid w:val="004E0BC9"/>
    <w:pPr>
      <w:autoSpaceDE w:val="0"/>
      <w:autoSpaceDN w:val="0"/>
      <w:adjustRightInd w:val="0"/>
      <w:spacing w:after="0" w:line="240" w:lineRule="auto"/>
    </w:pPr>
    <w:rPr>
      <w:rFonts w:ascii="ScalaSansPro-Regular" w:hAnsi="ScalaSansPro-Regular" w:cs="ScalaSansPro-Regular"/>
      <w:color w:val="000000"/>
      <w:sz w:val="24"/>
      <w:szCs w:val="24"/>
    </w:rPr>
  </w:style>
  <w:style w:type="paragraph" w:customStyle="1" w:styleId="xmsonormal">
    <w:name w:val="xmsonormal"/>
    <w:basedOn w:val="Standard"/>
    <w:rsid w:val="00BF78EA"/>
    <w:pPr>
      <w:spacing w:before="100" w:beforeAutospacing="1" w:after="100" w:afterAutospacing="1" w:line="240" w:lineRule="auto"/>
    </w:pPr>
    <w:rPr>
      <w:rFonts w:ascii="Calibri" w:hAnsi="Calibri" w:cs="Calibri"/>
    </w:rPr>
  </w:style>
  <w:style w:type="paragraph" w:customStyle="1" w:styleId="xmsolistparagraph">
    <w:name w:val="xmsolistparagraph"/>
    <w:basedOn w:val="Standard"/>
    <w:rsid w:val="00BF78EA"/>
    <w:pPr>
      <w:spacing w:before="100" w:beforeAutospacing="1" w:after="100" w:afterAutospacing="1" w:line="240" w:lineRule="auto"/>
    </w:pPr>
    <w:rPr>
      <w:rFonts w:ascii="Calibri" w:hAnsi="Calibri" w:cs="Calibri"/>
    </w:rPr>
  </w:style>
  <w:style w:type="character" w:customStyle="1" w:styleId="apple-converted-space">
    <w:name w:val="apple-converted-space"/>
    <w:basedOn w:val="Absatz-Standardschriftart"/>
    <w:rsid w:val="00BF78EA"/>
  </w:style>
  <w:style w:type="character" w:styleId="Hyperlink">
    <w:name w:val="Hyperlink"/>
    <w:basedOn w:val="Absatz-Standardschriftart"/>
    <w:uiPriority w:val="99"/>
    <w:unhideWhenUsed/>
    <w:rsid w:val="00C6329E"/>
    <w:rPr>
      <w:color w:val="0000FF" w:themeColor="hyperlink"/>
      <w:u w:val="single"/>
    </w:rPr>
  </w:style>
  <w:style w:type="character" w:styleId="NichtaufgelsteErwhnung">
    <w:name w:val="Unresolved Mention"/>
    <w:basedOn w:val="Absatz-Standardschriftart"/>
    <w:uiPriority w:val="99"/>
    <w:semiHidden/>
    <w:unhideWhenUsed/>
    <w:rsid w:val="00C63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4533">
      <w:bodyDiv w:val="1"/>
      <w:marLeft w:val="0"/>
      <w:marRight w:val="0"/>
      <w:marTop w:val="0"/>
      <w:marBottom w:val="0"/>
      <w:divBdr>
        <w:top w:val="none" w:sz="0" w:space="0" w:color="auto"/>
        <w:left w:val="none" w:sz="0" w:space="0" w:color="auto"/>
        <w:bottom w:val="none" w:sz="0" w:space="0" w:color="auto"/>
        <w:right w:val="none" w:sz="0" w:space="0" w:color="auto"/>
      </w:divBdr>
      <w:divsChild>
        <w:div w:id="1870751688">
          <w:marLeft w:val="0"/>
          <w:marRight w:val="0"/>
          <w:marTop w:val="0"/>
          <w:marBottom w:val="0"/>
          <w:divBdr>
            <w:top w:val="none" w:sz="0" w:space="0" w:color="auto"/>
            <w:left w:val="none" w:sz="0" w:space="0" w:color="auto"/>
            <w:bottom w:val="none" w:sz="0" w:space="0" w:color="auto"/>
            <w:right w:val="none" w:sz="0" w:space="0" w:color="auto"/>
          </w:divBdr>
        </w:div>
        <w:div w:id="462189356">
          <w:marLeft w:val="0"/>
          <w:marRight w:val="0"/>
          <w:marTop w:val="0"/>
          <w:marBottom w:val="0"/>
          <w:divBdr>
            <w:top w:val="none" w:sz="0" w:space="0" w:color="auto"/>
            <w:left w:val="none" w:sz="0" w:space="0" w:color="auto"/>
            <w:bottom w:val="none" w:sz="0" w:space="0" w:color="auto"/>
            <w:right w:val="none" w:sz="0" w:space="0" w:color="auto"/>
          </w:divBdr>
        </w:div>
      </w:divsChild>
    </w:div>
    <w:div w:id="270939584">
      <w:bodyDiv w:val="1"/>
      <w:marLeft w:val="0"/>
      <w:marRight w:val="0"/>
      <w:marTop w:val="0"/>
      <w:marBottom w:val="0"/>
      <w:divBdr>
        <w:top w:val="none" w:sz="0" w:space="0" w:color="auto"/>
        <w:left w:val="none" w:sz="0" w:space="0" w:color="auto"/>
        <w:bottom w:val="none" w:sz="0" w:space="0" w:color="auto"/>
        <w:right w:val="none" w:sz="0" w:space="0" w:color="auto"/>
      </w:divBdr>
    </w:div>
    <w:div w:id="860364961">
      <w:bodyDiv w:val="1"/>
      <w:marLeft w:val="0"/>
      <w:marRight w:val="0"/>
      <w:marTop w:val="0"/>
      <w:marBottom w:val="0"/>
      <w:divBdr>
        <w:top w:val="none" w:sz="0" w:space="0" w:color="auto"/>
        <w:left w:val="none" w:sz="0" w:space="0" w:color="auto"/>
        <w:bottom w:val="none" w:sz="0" w:space="0" w:color="auto"/>
        <w:right w:val="none" w:sz="0" w:space="0" w:color="auto"/>
      </w:divBdr>
    </w:div>
    <w:div w:id="1328551917">
      <w:bodyDiv w:val="1"/>
      <w:marLeft w:val="0"/>
      <w:marRight w:val="0"/>
      <w:marTop w:val="0"/>
      <w:marBottom w:val="0"/>
      <w:divBdr>
        <w:top w:val="none" w:sz="0" w:space="0" w:color="auto"/>
        <w:left w:val="none" w:sz="0" w:space="0" w:color="auto"/>
        <w:bottom w:val="none" w:sz="0" w:space="0" w:color="auto"/>
        <w:right w:val="none" w:sz="0" w:space="0" w:color="auto"/>
      </w:divBdr>
      <w:divsChild>
        <w:div w:id="1343580905">
          <w:marLeft w:val="0"/>
          <w:marRight w:val="0"/>
          <w:marTop w:val="0"/>
          <w:marBottom w:val="0"/>
          <w:divBdr>
            <w:top w:val="none" w:sz="0" w:space="0" w:color="auto"/>
            <w:left w:val="none" w:sz="0" w:space="0" w:color="auto"/>
            <w:bottom w:val="none" w:sz="0" w:space="0" w:color="auto"/>
            <w:right w:val="none" w:sz="0" w:space="0" w:color="auto"/>
          </w:divBdr>
        </w:div>
        <w:div w:id="318848343">
          <w:marLeft w:val="0"/>
          <w:marRight w:val="0"/>
          <w:marTop w:val="0"/>
          <w:marBottom w:val="0"/>
          <w:divBdr>
            <w:top w:val="none" w:sz="0" w:space="0" w:color="auto"/>
            <w:left w:val="none" w:sz="0" w:space="0" w:color="auto"/>
            <w:bottom w:val="none" w:sz="0" w:space="0" w:color="auto"/>
            <w:right w:val="none" w:sz="0" w:space="0" w:color="auto"/>
          </w:divBdr>
        </w:div>
      </w:divsChild>
    </w:div>
    <w:div w:id="1875802449">
      <w:bodyDiv w:val="1"/>
      <w:marLeft w:val="0"/>
      <w:marRight w:val="0"/>
      <w:marTop w:val="0"/>
      <w:marBottom w:val="0"/>
      <w:divBdr>
        <w:top w:val="none" w:sz="0" w:space="0" w:color="auto"/>
        <w:left w:val="none" w:sz="0" w:space="0" w:color="auto"/>
        <w:bottom w:val="none" w:sz="0" w:space="0" w:color="auto"/>
        <w:right w:val="none" w:sz="0" w:space="0" w:color="auto"/>
      </w:divBdr>
    </w:div>
    <w:div w:id="19922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i.de/DE/Content/Gesundheitsmonitoring/Gesundheitsberichterstattung/GBEDownloadsK/2014_2_soziale_unterschiede.pdf?__blob=publicationFile" TargetMode="External"/><Relationship Id="rId13" Type="http://schemas.openxmlformats.org/officeDocument/2006/relationships/hyperlink" Target="https://rdcu.be/bFCl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ki.de/DE/Content/Gesundheitsmonitoring/Gesundheitsberichterstattung/GBEDownloadsJ/JoHM_01_2019_Soz_Unterschiede_Mortalitaet.pdf?__blob=publicationFile" TargetMode="External"/><Relationship Id="rId12" Type="http://schemas.openxmlformats.org/officeDocument/2006/relationships/hyperlink" Target="https://www.nejm.org/doi/full/10.1056/NEJMsa070751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pps.who.int/iris/bitstream/handle/10665/324835/9789241565707-eng.pdf?ua=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36/jech-2012-201761" TargetMode="External"/><Relationship Id="rId5" Type="http://schemas.openxmlformats.org/officeDocument/2006/relationships/footnotes" Target="footnotes.xml"/><Relationship Id="rId15" Type="http://schemas.openxmlformats.org/officeDocument/2006/relationships/hyperlink" Target="http://www.euro.who.int/en/media-centre/sections/press-releases/2019/progress-on-health-equity-is-stalling-across-europe-new-who-report-reveals-gaps-can-be-reduced-within-the-lifetime-of-a-single-government" TargetMode="External"/><Relationship Id="rId10" Type="http://schemas.openxmlformats.org/officeDocument/2006/relationships/hyperlink" Target="https://edoc.rki.de/bitstream/handle/176904/5909/JoHM_01_2019_Mortalitaet_Lebenserwartung.pdf?sequence=1&amp;isAllowed=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oc.rki.de/bitstream/handle/176904/5910/JoHM_01_2019_Entwicklung_Lebenserwartung.pdf?sequence=1&amp;isAllowed=y" TargetMode="External"/><Relationship Id="rId14" Type="http://schemas.openxmlformats.org/officeDocument/2006/relationships/hyperlink" Target="http://www.euro.who.int/__data/assets/pdf_file/0018/412506/HESR-fact-sheet-1_G.pdf?ua=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9743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Starker</dc:creator>
  <cp:lastModifiedBy>Davida Drescher</cp:lastModifiedBy>
  <cp:revision>2</cp:revision>
  <cp:lastPrinted>2019-10-30T11:25:00Z</cp:lastPrinted>
  <dcterms:created xsi:type="dcterms:W3CDTF">2019-10-30T11:37:00Z</dcterms:created>
  <dcterms:modified xsi:type="dcterms:W3CDTF">2019-10-30T11:37:00Z</dcterms:modified>
</cp:coreProperties>
</file>