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EC0D" w14:textId="77777777" w:rsidR="00ED529F" w:rsidRDefault="00ED529F">
      <w:pPr>
        <w:jc w:val="both"/>
        <w:rPr>
          <w:b/>
          <w:bCs/>
          <w:sz w:val="32"/>
          <w:szCs w:val="32"/>
        </w:rPr>
      </w:pPr>
    </w:p>
    <w:p w14:paraId="6099E0C5" w14:textId="7E41ECA2" w:rsidR="00651AAD" w:rsidRDefault="00393BB9">
      <w:pPr>
        <w:jc w:val="both"/>
        <w:rPr>
          <w:b/>
          <w:bCs/>
          <w:sz w:val="32"/>
          <w:szCs w:val="32"/>
        </w:rPr>
      </w:pPr>
      <w:r>
        <w:rPr>
          <w:b/>
          <w:bCs/>
          <w:noProof/>
          <w:sz w:val="28"/>
          <w:szCs w:val="28"/>
          <w:lang w:eastAsia="de-DE"/>
        </w:rPr>
        <mc:AlternateContent>
          <mc:Choice Requires="wpg">
            <w:drawing>
              <wp:anchor distT="0" distB="0" distL="114300" distR="114300" simplePos="0" relativeHeight="251659264" behindDoc="0" locked="0" layoutInCell="1" allowOverlap="1" wp14:anchorId="0BAE37D1" wp14:editId="359FF9BC">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0.0pt;mso-position-vertical:absolute;width:177.0pt;height:52.6pt;" wrapcoords="0 0 0 97051 99153 97051 99153 0 0 0" stroked="f">
                <v:path textboxrect="0,0,0,0"/>
                <v:imagedata r:id="rId10" o:title=""/>
              </v:shape>
            </w:pict>
          </mc:Fallback>
        </mc:AlternateContent>
      </w:r>
    </w:p>
    <w:p w14:paraId="0A50C913" w14:textId="77777777" w:rsidR="00651AAD" w:rsidRDefault="00651AAD">
      <w:pPr>
        <w:rPr>
          <w:b/>
          <w:bCs/>
          <w:sz w:val="32"/>
          <w:szCs w:val="32"/>
        </w:rPr>
      </w:pPr>
    </w:p>
    <w:p w14:paraId="583E99C5" w14:textId="77777777" w:rsidR="00651AAD" w:rsidRDefault="00651AAD">
      <w:pPr>
        <w:rPr>
          <w:b/>
          <w:bCs/>
          <w:sz w:val="32"/>
          <w:szCs w:val="32"/>
        </w:rPr>
      </w:pPr>
    </w:p>
    <w:p w14:paraId="749DF96C" w14:textId="77777777" w:rsidR="00651AAD" w:rsidRDefault="00651AAD">
      <w:pPr>
        <w:rPr>
          <w:rFonts w:ascii="Open Sans" w:hAnsi="Open Sans" w:cs="Open Sans"/>
          <w:sz w:val="20"/>
          <w:szCs w:val="20"/>
        </w:rPr>
      </w:pPr>
    </w:p>
    <w:p w14:paraId="6B76A2C9" w14:textId="47A4EDAA" w:rsidR="00651AAD" w:rsidRDefault="00393BB9">
      <w:pPr>
        <w:rPr>
          <w:rFonts w:ascii="Open Sans" w:hAnsi="Open Sans" w:cs="Open Sans"/>
          <w:sz w:val="20"/>
          <w:szCs w:val="20"/>
        </w:rPr>
      </w:pPr>
      <w:r>
        <w:rPr>
          <w:rFonts w:ascii="Open Sans" w:hAnsi="Open Sans" w:cs="Open Sans"/>
          <w:sz w:val="20"/>
          <w:szCs w:val="20"/>
        </w:rPr>
        <w:t xml:space="preserve">Pressemitteilung, </w:t>
      </w:r>
      <w:r w:rsidR="00E62D39">
        <w:rPr>
          <w:rFonts w:ascii="Open Sans" w:hAnsi="Open Sans" w:cs="Open Sans"/>
          <w:sz w:val="20"/>
          <w:szCs w:val="20"/>
        </w:rPr>
        <w:t>15</w:t>
      </w:r>
      <w:r>
        <w:rPr>
          <w:rFonts w:ascii="Open Sans" w:hAnsi="Open Sans" w:cs="Open Sans"/>
          <w:sz w:val="20"/>
          <w:szCs w:val="20"/>
        </w:rPr>
        <w:t xml:space="preserve">. </w:t>
      </w:r>
      <w:r w:rsidR="00E62D39">
        <w:rPr>
          <w:rFonts w:ascii="Open Sans" w:hAnsi="Open Sans" w:cs="Open Sans"/>
          <w:sz w:val="20"/>
          <w:szCs w:val="20"/>
        </w:rPr>
        <w:t>September</w:t>
      </w:r>
      <w:r>
        <w:rPr>
          <w:rFonts w:ascii="Open Sans" w:hAnsi="Open Sans" w:cs="Open Sans"/>
          <w:sz w:val="20"/>
          <w:szCs w:val="20"/>
        </w:rPr>
        <w:t xml:space="preserve"> 2023</w:t>
      </w:r>
    </w:p>
    <w:p w14:paraId="4EC21A6F" w14:textId="77777777" w:rsidR="00EC406D" w:rsidRDefault="00EC406D" w:rsidP="00EC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8"/>
          <w:szCs w:val="28"/>
        </w:rPr>
      </w:pPr>
      <w:r>
        <w:rPr>
          <w:rFonts w:ascii="Open Sans" w:hAnsi="Open Sans" w:cs="Open Sans"/>
          <w:b/>
          <w:bCs/>
          <w:sz w:val="28"/>
          <w:szCs w:val="28"/>
        </w:rPr>
        <w:t xml:space="preserve">Landtagspräsident Hendrik Hering besucht Universität Koblenz </w:t>
      </w:r>
    </w:p>
    <w:p w14:paraId="32E81F2A" w14:textId="77777777" w:rsidR="00651AAD" w:rsidRDefault="0065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rPr>
      </w:pPr>
    </w:p>
    <w:p w14:paraId="57294298" w14:textId="0AA9D5E5" w:rsidR="000F67CC" w:rsidRDefault="00E62D39">
      <w:pPr>
        <w:pStyle w:val="StandardWeb"/>
        <w:shd w:val="clear" w:color="FFFFFF" w:fill="FFFFFF"/>
        <w:spacing w:before="0" w:beforeAutospacing="0" w:after="240" w:afterAutospacing="0" w:line="343" w:lineRule="atLeast"/>
        <w:rPr>
          <w:rFonts w:ascii="Open Sans" w:hAnsi="Open Sans" w:cs="Open Sans"/>
          <w:sz w:val="22"/>
          <w:szCs w:val="22"/>
        </w:rPr>
      </w:pPr>
      <w:r>
        <w:rPr>
          <w:rFonts w:ascii="Open Sans" w:hAnsi="Open Sans" w:cs="Open Sans"/>
          <w:sz w:val="22"/>
          <w:szCs w:val="22"/>
        </w:rPr>
        <w:t xml:space="preserve">Am heutigen Freitag besuchte Hendrik Hering, Präsident des Landtags Rheinland-Pfalz, die Universität Koblenz. Bei </w:t>
      </w:r>
      <w:r w:rsidR="0053093D">
        <w:rPr>
          <w:rFonts w:ascii="Open Sans" w:hAnsi="Open Sans" w:cs="Open Sans"/>
          <w:sz w:val="22"/>
          <w:szCs w:val="22"/>
        </w:rPr>
        <w:t>einem</w:t>
      </w:r>
      <w:r>
        <w:rPr>
          <w:rFonts w:ascii="Open Sans" w:hAnsi="Open Sans" w:cs="Open Sans"/>
          <w:sz w:val="22"/>
          <w:szCs w:val="22"/>
        </w:rPr>
        <w:t xml:space="preserve"> Treffen mit Universitätspräsident Prof. Dr. Stefan Wehner und einem anschließenden Rundgang über den Campus </w:t>
      </w:r>
      <w:r w:rsidR="0053093D">
        <w:rPr>
          <w:rFonts w:ascii="Open Sans" w:hAnsi="Open Sans" w:cs="Open Sans"/>
          <w:sz w:val="22"/>
          <w:szCs w:val="22"/>
        </w:rPr>
        <w:t xml:space="preserve">informierte er sich über </w:t>
      </w:r>
      <w:r w:rsidR="0026179C">
        <w:rPr>
          <w:rFonts w:ascii="Open Sans" w:hAnsi="Open Sans" w:cs="Open Sans"/>
          <w:sz w:val="22"/>
          <w:szCs w:val="22"/>
        </w:rPr>
        <w:t>den erfolgten Aufbau</w:t>
      </w:r>
      <w:r w:rsidR="0053093D">
        <w:rPr>
          <w:rFonts w:ascii="Open Sans" w:hAnsi="Open Sans" w:cs="Open Sans"/>
          <w:sz w:val="22"/>
          <w:szCs w:val="22"/>
        </w:rPr>
        <w:t xml:space="preserve"> und die laufende Weiterentwicklung der seit Anfang des Jahres eigenständigen Universität. </w:t>
      </w:r>
    </w:p>
    <w:p w14:paraId="0AC07254" w14:textId="4C754BA3" w:rsidR="00C44751" w:rsidRPr="00543965" w:rsidRDefault="0053093D" w:rsidP="00543965">
      <w:pPr>
        <w:spacing w:before="100" w:beforeAutospacing="1"/>
        <w:rPr>
          <w:rFonts w:ascii="Times New Roman" w:eastAsia="Times New Roman" w:hAnsi="Times New Roman" w:cs="Times New Roman"/>
          <w:sz w:val="24"/>
          <w:szCs w:val="24"/>
          <w:lang w:eastAsia="de-DE"/>
        </w:rPr>
      </w:pPr>
      <w:r>
        <w:rPr>
          <w:rFonts w:ascii="Open Sans" w:hAnsi="Open Sans" w:cs="Open Sans"/>
        </w:rPr>
        <w:t>„</w:t>
      </w:r>
      <w:bookmarkStart w:id="0" w:name="_Hlk145605490"/>
      <w:r w:rsidR="00543965" w:rsidRPr="00543965">
        <w:rPr>
          <w:rFonts w:ascii="Open Sans" w:eastAsia="Times New Roman" w:hAnsi="Open Sans" w:cs="Open Sans"/>
        </w:rPr>
        <w:t>Die Universität Koblenz ist mit ihrer neuen Struktur als zentrale Universität im Norden von Rheinland-Pfalz weiter gestärkt worden. Mit ihren kurzen Wegen und ihrem modernen, interdisziplinären Ansatz hat sie in den vergangenen Monaten viele neue Studienangebote und Forschungsvorhaben entlang ihrer vier Profilbereiche Bildung, Informatik, Kultur &amp; Vermittlung sowie Material &amp; Umwelt entwickelt. Weitere sind in Vorbereitung. Auch die fortlaufende Vernetzung mit der Region in und um Koblenz ist ein wichtiges Element, das die neue Universität lobenswerterweise dabei sehr stark im Fokus hat. Ich freue mich, dass wir mit der Uni Koblenz derzeit auch ein Forschungsprojekt zur Auseinandersetzung mit dem Nationalsozialismus in einheimischen und migrantischen Familien in Rheinland-Pfalz durchführen. Ergebnisse hierzu liegen Anfang des kommenden Jahres vor. Ich wünsche allen Mitgliedern der Universität auf dem weiteren Weg alles Gute und viel Erfolg</w:t>
      </w:r>
      <w:bookmarkEnd w:id="0"/>
      <w:r w:rsidR="0026179C">
        <w:rPr>
          <w:rFonts w:ascii="Open Sans" w:hAnsi="Open Sans" w:cs="Open Sans"/>
        </w:rPr>
        <w:t>“, kommentiert Hendrik Hering.</w:t>
      </w:r>
    </w:p>
    <w:p w14:paraId="742CB3BE" w14:textId="5C51E918" w:rsidR="0053093D" w:rsidRDefault="00C44751" w:rsidP="00C44751">
      <w:pPr>
        <w:pStyle w:val="StandardWeb"/>
        <w:shd w:val="clear" w:color="FFFFFF" w:fill="FFFFFF"/>
        <w:spacing w:before="0" w:beforeAutospacing="0" w:after="240" w:afterAutospacing="0" w:line="343" w:lineRule="atLeast"/>
        <w:rPr>
          <w:rFonts w:ascii="Open Sans" w:hAnsi="Open Sans" w:cs="Open Sans"/>
          <w:sz w:val="22"/>
          <w:szCs w:val="22"/>
        </w:rPr>
      </w:pPr>
      <w:r>
        <w:rPr>
          <w:rFonts w:ascii="Open Sans" w:hAnsi="Open Sans" w:cs="Open Sans"/>
          <w:sz w:val="22"/>
          <w:szCs w:val="22"/>
        </w:rPr>
        <w:t>„Wir bedanken uns ganz recht herzlich</w:t>
      </w:r>
      <w:r w:rsidRPr="00C44751">
        <w:rPr>
          <w:rFonts w:ascii="Open Sans" w:hAnsi="Open Sans" w:cs="Open Sans"/>
          <w:sz w:val="22"/>
          <w:szCs w:val="22"/>
        </w:rPr>
        <w:t xml:space="preserve"> </w:t>
      </w:r>
      <w:r w:rsidR="0026179C">
        <w:rPr>
          <w:rFonts w:ascii="Open Sans" w:hAnsi="Open Sans" w:cs="Open Sans"/>
          <w:sz w:val="22"/>
          <w:szCs w:val="22"/>
        </w:rPr>
        <w:t>bei H</w:t>
      </w:r>
      <w:r w:rsidR="000B0606">
        <w:rPr>
          <w:rFonts w:ascii="Open Sans" w:hAnsi="Open Sans" w:cs="Open Sans"/>
          <w:sz w:val="22"/>
          <w:szCs w:val="22"/>
        </w:rPr>
        <w:t xml:space="preserve">errn Hendrik </w:t>
      </w:r>
      <w:r w:rsidR="0026179C">
        <w:rPr>
          <w:rFonts w:ascii="Open Sans" w:hAnsi="Open Sans" w:cs="Open Sans"/>
          <w:sz w:val="22"/>
          <w:szCs w:val="22"/>
        </w:rPr>
        <w:t>Hering für den Besuch</w:t>
      </w:r>
      <w:r w:rsidR="000B0606">
        <w:rPr>
          <w:rFonts w:ascii="Open Sans" w:hAnsi="Open Sans" w:cs="Open Sans"/>
          <w:sz w:val="22"/>
          <w:szCs w:val="22"/>
        </w:rPr>
        <w:t xml:space="preserve">, </w:t>
      </w:r>
      <w:r w:rsidR="0026179C">
        <w:rPr>
          <w:rFonts w:ascii="Open Sans" w:hAnsi="Open Sans" w:cs="Open Sans"/>
          <w:sz w:val="22"/>
          <w:szCs w:val="22"/>
        </w:rPr>
        <w:t xml:space="preserve">das tiefe Interesse für unsere </w:t>
      </w:r>
      <w:r w:rsidR="000B0606">
        <w:rPr>
          <w:rFonts w:ascii="Open Sans" w:hAnsi="Open Sans" w:cs="Open Sans"/>
          <w:sz w:val="22"/>
          <w:szCs w:val="22"/>
        </w:rPr>
        <w:t xml:space="preserve">neue </w:t>
      </w:r>
      <w:r w:rsidR="0026179C">
        <w:rPr>
          <w:rFonts w:ascii="Open Sans" w:hAnsi="Open Sans" w:cs="Open Sans"/>
          <w:sz w:val="22"/>
          <w:szCs w:val="22"/>
        </w:rPr>
        <w:t xml:space="preserve">Universität. Sie sind ein </w:t>
      </w:r>
      <w:r w:rsidR="000B0606">
        <w:rPr>
          <w:rFonts w:ascii="Open Sans" w:hAnsi="Open Sans" w:cs="Open Sans"/>
          <w:sz w:val="22"/>
          <w:szCs w:val="22"/>
        </w:rPr>
        <w:t>zusätzlicher</w:t>
      </w:r>
      <w:r w:rsidR="0026179C">
        <w:rPr>
          <w:rFonts w:ascii="Open Sans" w:hAnsi="Open Sans" w:cs="Open Sans"/>
          <w:sz w:val="22"/>
          <w:szCs w:val="22"/>
        </w:rPr>
        <w:t xml:space="preserve"> Ansporn</w:t>
      </w:r>
      <w:r w:rsidR="00904F85">
        <w:rPr>
          <w:rFonts w:ascii="Open Sans" w:hAnsi="Open Sans" w:cs="Open Sans"/>
          <w:sz w:val="22"/>
          <w:szCs w:val="22"/>
        </w:rPr>
        <w:t xml:space="preserve"> und eine große Unterstützung auf unserem Weg, </w:t>
      </w:r>
      <w:r w:rsidR="000B0606">
        <w:rPr>
          <w:rFonts w:ascii="Open Sans" w:hAnsi="Open Sans" w:cs="Open Sans"/>
          <w:sz w:val="22"/>
          <w:szCs w:val="22"/>
        </w:rPr>
        <w:t xml:space="preserve">die Universität konsequent weiterzuentwickeln und noch stärker als bisher in der Region sowie darüber hinaus zu </w:t>
      </w:r>
      <w:r w:rsidR="00904F85">
        <w:rPr>
          <w:rFonts w:ascii="Open Sans" w:hAnsi="Open Sans" w:cs="Open Sans"/>
          <w:sz w:val="22"/>
          <w:szCs w:val="22"/>
        </w:rPr>
        <w:t xml:space="preserve">vernetzen und zu </w:t>
      </w:r>
      <w:r w:rsidR="000B0606">
        <w:rPr>
          <w:rFonts w:ascii="Open Sans" w:hAnsi="Open Sans" w:cs="Open Sans"/>
          <w:sz w:val="22"/>
          <w:szCs w:val="22"/>
        </w:rPr>
        <w:t>etablieren</w:t>
      </w:r>
      <w:r w:rsidRPr="00C44751">
        <w:rPr>
          <w:rFonts w:ascii="Open Sans" w:hAnsi="Open Sans" w:cs="Open Sans"/>
          <w:sz w:val="22"/>
          <w:szCs w:val="22"/>
        </w:rPr>
        <w:t>.</w:t>
      </w:r>
      <w:r w:rsidR="000B0606">
        <w:rPr>
          <w:rFonts w:ascii="Open Sans" w:hAnsi="Open Sans" w:cs="Open Sans"/>
          <w:sz w:val="22"/>
          <w:szCs w:val="22"/>
        </w:rPr>
        <w:t>“, sagt Prof. Dr. Stefan Wehner.</w:t>
      </w:r>
    </w:p>
    <w:p w14:paraId="169DD05F" w14:textId="58C0031C" w:rsidR="00F00DFD" w:rsidRDefault="00F00DFD" w:rsidP="00C44751">
      <w:pPr>
        <w:pStyle w:val="StandardWeb"/>
        <w:shd w:val="clear" w:color="FFFFFF" w:fill="FFFFFF"/>
        <w:spacing w:before="0" w:beforeAutospacing="0" w:after="240" w:afterAutospacing="0" w:line="343" w:lineRule="atLeast"/>
        <w:rPr>
          <w:rFonts w:ascii="Open Sans" w:hAnsi="Open Sans" w:cs="Open Sans"/>
          <w:sz w:val="22"/>
          <w:szCs w:val="22"/>
        </w:rPr>
      </w:pPr>
      <w:r>
        <w:rPr>
          <w:rFonts w:ascii="Open Sans" w:hAnsi="Open Sans" w:cs="Open Sans"/>
          <w:sz w:val="22"/>
          <w:szCs w:val="22"/>
        </w:rPr>
        <w:t xml:space="preserve">Für die Weiterentwicklung der Universität hat sich die Universität einen umfangreichen Entwicklungsplan bis 2030 gegeben, der nun schrittweise umgesetzt wird. </w:t>
      </w:r>
      <w:r w:rsidR="000B0606">
        <w:rPr>
          <w:rFonts w:ascii="Open Sans" w:hAnsi="Open Sans" w:cs="Open Sans"/>
          <w:sz w:val="22"/>
          <w:szCs w:val="22"/>
        </w:rPr>
        <w:t xml:space="preserve">Seit Beginn der Eigenständigkeit der Universität </w:t>
      </w:r>
      <w:r w:rsidR="00904F85">
        <w:rPr>
          <w:rFonts w:ascii="Open Sans" w:hAnsi="Open Sans" w:cs="Open Sans"/>
          <w:sz w:val="22"/>
          <w:szCs w:val="22"/>
        </w:rPr>
        <w:t xml:space="preserve">Anfang des Jahres haben </w:t>
      </w:r>
      <w:r>
        <w:rPr>
          <w:rFonts w:ascii="Open Sans" w:hAnsi="Open Sans" w:cs="Open Sans"/>
          <w:sz w:val="22"/>
          <w:szCs w:val="22"/>
        </w:rPr>
        <w:t xml:space="preserve">bereits </w:t>
      </w:r>
      <w:r w:rsidR="00904F85">
        <w:rPr>
          <w:rFonts w:ascii="Open Sans" w:hAnsi="Open Sans" w:cs="Open Sans"/>
          <w:sz w:val="22"/>
          <w:szCs w:val="22"/>
        </w:rPr>
        <w:t xml:space="preserve">insgesamt </w:t>
      </w:r>
      <w:r w:rsidR="005E1AB9">
        <w:rPr>
          <w:rFonts w:ascii="Open Sans" w:hAnsi="Open Sans" w:cs="Open Sans"/>
          <w:sz w:val="22"/>
          <w:szCs w:val="22"/>
        </w:rPr>
        <w:t>1</w:t>
      </w:r>
      <w:r w:rsidR="00604FCF">
        <w:rPr>
          <w:rFonts w:ascii="Open Sans" w:hAnsi="Open Sans" w:cs="Open Sans"/>
          <w:sz w:val="22"/>
          <w:szCs w:val="22"/>
        </w:rPr>
        <w:t>3</w:t>
      </w:r>
      <w:r w:rsidR="005E1AB9">
        <w:rPr>
          <w:rFonts w:ascii="Open Sans" w:hAnsi="Open Sans" w:cs="Open Sans"/>
          <w:sz w:val="22"/>
          <w:szCs w:val="22"/>
        </w:rPr>
        <w:t xml:space="preserve"> </w:t>
      </w:r>
      <w:r w:rsidR="00904F85">
        <w:rPr>
          <w:rFonts w:ascii="Open Sans" w:hAnsi="Open Sans" w:cs="Open Sans"/>
          <w:sz w:val="22"/>
          <w:szCs w:val="22"/>
        </w:rPr>
        <w:t xml:space="preserve">neue Professor*innen an der Universität Koblenz gestartet. Den Ausbau der Forschung treibt die Universität unter anderem durch den kurzfristigen Aufbau einer Forschungsplattform für interdisziplinäre Forschungsaktivitäten sowie den Ausbau der </w:t>
      </w:r>
      <w:r w:rsidR="00904F85">
        <w:rPr>
          <w:rFonts w:ascii="Open Sans" w:hAnsi="Open Sans" w:cs="Open Sans"/>
          <w:sz w:val="22"/>
          <w:szCs w:val="22"/>
        </w:rPr>
        <w:lastRenderedPageBreak/>
        <w:t>Forschungsinfrastruktur voran, für die das Land</w:t>
      </w:r>
      <w:r>
        <w:rPr>
          <w:rFonts w:ascii="Open Sans" w:hAnsi="Open Sans" w:cs="Open Sans"/>
          <w:sz w:val="22"/>
          <w:szCs w:val="22"/>
        </w:rPr>
        <w:t xml:space="preserve"> Rheinland-Pfalz</w:t>
      </w:r>
      <w:r w:rsidR="00904F85">
        <w:rPr>
          <w:rFonts w:ascii="Open Sans" w:hAnsi="Open Sans" w:cs="Open Sans"/>
          <w:sz w:val="22"/>
          <w:szCs w:val="22"/>
        </w:rPr>
        <w:t xml:space="preserve"> kürzlich zusätzliche Fördermittel in Höhe von 1,42 Mio. € bereitgestellt hat. Das Studienangebot wurde </w:t>
      </w:r>
      <w:r>
        <w:rPr>
          <w:rFonts w:ascii="Open Sans" w:hAnsi="Open Sans" w:cs="Open Sans"/>
          <w:sz w:val="22"/>
          <w:szCs w:val="22"/>
        </w:rPr>
        <w:t xml:space="preserve">zum aktuellen Wintersemester </w:t>
      </w:r>
      <w:r w:rsidR="00904F85">
        <w:rPr>
          <w:rFonts w:ascii="Open Sans" w:hAnsi="Open Sans" w:cs="Open Sans"/>
          <w:sz w:val="22"/>
          <w:szCs w:val="22"/>
        </w:rPr>
        <w:t>um die drei neuen Studiengänge Pflege als</w:t>
      </w:r>
      <w:r>
        <w:rPr>
          <w:rFonts w:ascii="Open Sans" w:hAnsi="Open Sans" w:cs="Open Sans"/>
          <w:sz w:val="22"/>
          <w:szCs w:val="22"/>
        </w:rPr>
        <w:t xml:space="preserve"> berufliches Fach im Lehramt, Gewässerkunde und Wasserwirtschaft sowie Computational </w:t>
      </w:r>
      <w:proofErr w:type="spellStart"/>
      <w:r>
        <w:rPr>
          <w:rFonts w:ascii="Open Sans" w:hAnsi="Open Sans" w:cs="Open Sans"/>
          <w:sz w:val="22"/>
          <w:szCs w:val="22"/>
        </w:rPr>
        <w:t>Social</w:t>
      </w:r>
      <w:proofErr w:type="spellEnd"/>
      <w:r>
        <w:rPr>
          <w:rFonts w:ascii="Open Sans" w:hAnsi="Open Sans" w:cs="Open Sans"/>
          <w:sz w:val="22"/>
          <w:szCs w:val="22"/>
        </w:rPr>
        <w:t xml:space="preserve"> Science ergänzt. Ab dem Wintersemester 2024/25</w:t>
      </w:r>
      <w:r w:rsidR="00904F85">
        <w:rPr>
          <w:rFonts w:ascii="Open Sans" w:hAnsi="Open Sans" w:cs="Open Sans"/>
          <w:sz w:val="22"/>
          <w:szCs w:val="22"/>
        </w:rPr>
        <w:t xml:space="preserve"> </w:t>
      </w:r>
      <w:r>
        <w:rPr>
          <w:rFonts w:ascii="Open Sans" w:hAnsi="Open Sans" w:cs="Open Sans"/>
          <w:sz w:val="22"/>
          <w:szCs w:val="22"/>
        </w:rPr>
        <w:t>wird es zudem in den lehrkräftebildenden Studiengängen der Bereich Förderschule neu angeboten</w:t>
      </w:r>
      <w:r w:rsidR="00904F85">
        <w:rPr>
          <w:rFonts w:ascii="Open Sans" w:hAnsi="Open Sans" w:cs="Open Sans"/>
          <w:sz w:val="22"/>
          <w:szCs w:val="22"/>
        </w:rPr>
        <w:t>.</w:t>
      </w:r>
      <w:r>
        <w:rPr>
          <w:rFonts w:ascii="Open Sans" w:hAnsi="Open Sans" w:cs="Open Sans"/>
          <w:sz w:val="22"/>
          <w:szCs w:val="22"/>
        </w:rPr>
        <w:t xml:space="preserve"> </w:t>
      </w:r>
      <w:r w:rsidR="000B0606" w:rsidRPr="000B0606">
        <w:rPr>
          <w:rFonts w:ascii="Open Sans" w:hAnsi="Open Sans" w:cs="Open Sans"/>
          <w:sz w:val="22"/>
          <w:szCs w:val="22"/>
        </w:rPr>
        <w:t>Noch unentschlossene Studieninteressierte können sich in alle</w:t>
      </w:r>
      <w:r w:rsidR="000B0606">
        <w:rPr>
          <w:rFonts w:ascii="Open Sans" w:hAnsi="Open Sans" w:cs="Open Sans"/>
          <w:sz w:val="22"/>
          <w:szCs w:val="22"/>
        </w:rPr>
        <w:t>n</w:t>
      </w:r>
      <w:r w:rsidR="000B0606" w:rsidRPr="000B0606">
        <w:rPr>
          <w:rFonts w:ascii="Open Sans" w:hAnsi="Open Sans" w:cs="Open Sans"/>
          <w:sz w:val="22"/>
          <w:szCs w:val="22"/>
        </w:rPr>
        <w:t xml:space="preserve"> zulassungsfreien Studiengänge</w:t>
      </w:r>
      <w:r>
        <w:rPr>
          <w:rFonts w:ascii="Open Sans" w:hAnsi="Open Sans" w:cs="Open Sans"/>
          <w:sz w:val="22"/>
          <w:szCs w:val="22"/>
        </w:rPr>
        <w:t>n</w:t>
      </w:r>
      <w:r w:rsidR="000B0606" w:rsidRPr="000B0606">
        <w:rPr>
          <w:rFonts w:ascii="Open Sans" w:hAnsi="Open Sans" w:cs="Open Sans"/>
          <w:sz w:val="22"/>
          <w:szCs w:val="22"/>
        </w:rPr>
        <w:t xml:space="preserve"> der Universität Koblenz </w:t>
      </w:r>
      <w:r>
        <w:rPr>
          <w:rFonts w:ascii="Open Sans" w:hAnsi="Open Sans" w:cs="Open Sans"/>
          <w:sz w:val="22"/>
          <w:szCs w:val="22"/>
        </w:rPr>
        <w:t>noch bis zum 15. Oktober 2023</w:t>
      </w:r>
      <w:r w:rsidRPr="000B0606">
        <w:rPr>
          <w:rFonts w:ascii="Open Sans" w:hAnsi="Open Sans" w:cs="Open Sans"/>
          <w:sz w:val="22"/>
          <w:szCs w:val="22"/>
        </w:rPr>
        <w:t xml:space="preserve"> </w:t>
      </w:r>
      <w:r w:rsidR="000B0606" w:rsidRPr="000B0606">
        <w:rPr>
          <w:rFonts w:ascii="Open Sans" w:hAnsi="Open Sans" w:cs="Open Sans"/>
          <w:sz w:val="22"/>
          <w:szCs w:val="22"/>
        </w:rPr>
        <w:t>einschreiben.</w:t>
      </w:r>
      <w:r w:rsidR="00904F85">
        <w:rPr>
          <w:rFonts w:ascii="Open Sans" w:hAnsi="Open Sans" w:cs="Open Sans"/>
          <w:sz w:val="22"/>
          <w:szCs w:val="22"/>
        </w:rPr>
        <w:t xml:space="preserve"> </w:t>
      </w:r>
    </w:p>
    <w:p w14:paraId="5A8FDE69" w14:textId="77777777" w:rsidR="00F00DFD" w:rsidRDefault="00F00DFD" w:rsidP="00024BAC">
      <w:pPr>
        <w:pStyle w:val="StandardWeb"/>
        <w:shd w:val="clear" w:color="FFFFFF" w:fill="FFFFFF"/>
        <w:spacing w:after="240" w:line="343" w:lineRule="atLeast"/>
        <w:rPr>
          <w:rFonts w:ascii="Open Sans" w:hAnsi="Open Sans" w:cs="Open Sans"/>
        </w:rPr>
      </w:pPr>
    </w:p>
    <w:p w14:paraId="3892E107" w14:textId="77777777" w:rsidR="00383EBF" w:rsidRPr="00AF7C80" w:rsidRDefault="00383EBF" w:rsidP="00383EBF">
      <w:pPr>
        <w:pStyle w:val="StandardWeb"/>
        <w:shd w:val="clear" w:color="FFFFFF" w:fill="FFFFFF"/>
        <w:spacing w:after="240" w:line="343" w:lineRule="atLeast"/>
        <w:rPr>
          <w:rFonts w:ascii="Open Sans" w:hAnsi="Open Sans" w:cs="Open Sans"/>
          <w:b/>
          <w:bCs/>
          <w:sz w:val="20"/>
          <w:szCs w:val="20"/>
        </w:rPr>
      </w:pPr>
      <w:r w:rsidRPr="00AF7C80">
        <w:rPr>
          <w:rFonts w:ascii="Open Sans" w:hAnsi="Open Sans" w:cs="Open Sans"/>
          <w:b/>
          <w:bCs/>
          <w:sz w:val="20"/>
          <w:szCs w:val="20"/>
        </w:rPr>
        <w:t xml:space="preserve">Über die Universität Koblenz </w:t>
      </w:r>
    </w:p>
    <w:p w14:paraId="0F9AC0CD" w14:textId="77777777" w:rsidR="00A416E4" w:rsidRDefault="00A416E4" w:rsidP="00A416E4">
      <w:r>
        <w:t xml:space="preserve">Die Universität Koblenz ist die jüngste Universität Deutschlands – und fußt gleichzeitig auf einer langen akademischen Tradition. Ihre vier Profilbereiche „Bildung“, „Informatik“, „Kultur und Vermittlung“ sowie „Material und Umwelt“ sind auf einzigartige Weise miteinander verbunden. Sie geben auch wichtige Impulse für die Lehrkräftebildung, die an der Universität eine zentrale Rolle einnimmt. Eine fächerübergreifende Zusammenarbeit und kurze Wege auf dem Campus prägen den Universitätsalltag. Die Universität Koblenz hat über 9.400 Studierende. Forschung und Lehre der Universität werden vorangetrieben von über 100 Professuren in vier Fachbereichen. </w:t>
      </w:r>
      <w:r w:rsidRPr="00B52349">
        <w:t>Insgesamt sind an der Universität Koblenz rund 1.100 Mitarbeitende beschäftigt.</w:t>
      </w:r>
    </w:p>
    <w:p w14:paraId="07FB33CA" w14:textId="200C6DCD" w:rsidR="00A416E4" w:rsidRPr="00A416E4" w:rsidRDefault="00A416E4">
      <w:r>
        <w:t>Ihr Selbstverständnis hat die neue Universität Koblenz in dem Begriff „</w:t>
      </w:r>
      <w:proofErr w:type="spellStart"/>
      <w:r>
        <w:t>weiter:denken</w:t>
      </w:r>
      <w:proofErr w:type="spellEnd"/>
      <w:r>
        <w:t>“ zusammengeführt. Darin spiegeln sich der Ansporn und der Anspruch aller Mitglieder der Universität, Gewohntes und Bekanntes immer wieder zu hinterfragen, um zu neuen Erkenntnissen zu gelangen und Vorreiter eines ganzheitlichen, interdisziplinären Denkens zu sein.</w:t>
      </w:r>
    </w:p>
    <w:p w14:paraId="20596E26" w14:textId="77777777" w:rsidR="00A416E4" w:rsidRDefault="00A416E4">
      <w:pPr>
        <w:rPr>
          <w:rFonts w:ascii="Open Sans" w:hAnsi="Open Sans" w:cs="Open Sans"/>
          <w:b/>
          <w:bCs/>
          <w:sz w:val="20"/>
          <w:szCs w:val="20"/>
        </w:rPr>
      </w:pPr>
    </w:p>
    <w:p w14:paraId="077F6AC7" w14:textId="4AFE7EF6" w:rsidR="00651AAD" w:rsidRPr="00AF7C80" w:rsidRDefault="00393BB9">
      <w:pPr>
        <w:rPr>
          <w:rFonts w:ascii="Open Sans" w:hAnsi="Open Sans" w:cs="Open Sans"/>
          <w:b/>
          <w:bCs/>
          <w:sz w:val="20"/>
          <w:szCs w:val="20"/>
        </w:rPr>
      </w:pPr>
      <w:r w:rsidRPr="00AF7C80">
        <w:rPr>
          <w:rFonts w:ascii="Open Sans" w:hAnsi="Open Sans" w:cs="Open Sans"/>
          <w:b/>
          <w:bCs/>
          <w:sz w:val="20"/>
          <w:szCs w:val="20"/>
        </w:rPr>
        <w:t xml:space="preserve">Mehr Informationen </w:t>
      </w:r>
    </w:p>
    <w:p w14:paraId="3E3006CC" w14:textId="170D2483" w:rsidR="00651AAD" w:rsidRPr="00AF7C80" w:rsidRDefault="00393BB9" w:rsidP="008950E9">
      <w:pPr>
        <w:rPr>
          <w:rFonts w:ascii="Open Sans" w:hAnsi="Open Sans" w:cs="Open Sans"/>
          <w:sz w:val="20"/>
          <w:szCs w:val="20"/>
        </w:rPr>
      </w:pPr>
      <w:r w:rsidRPr="00AF7C80">
        <w:rPr>
          <w:rFonts w:ascii="Open Sans" w:hAnsi="Open Sans" w:cs="Open Sans"/>
          <w:sz w:val="20"/>
          <w:szCs w:val="20"/>
        </w:rPr>
        <w:t xml:space="preserve">Weitere News und Pressemitteilungen, sowie eine Auswahl von Pressebildern finden </w:t>
      </w:r>
      <w:r w:rsidR="008950E9" w:rsidRPr="00AF7C80">
        <w:rPr>
          <w:rFonts w:ascii="Open Sans" w:hAnsi="Open Sans" w:cs="Open Sans"/>
          <w:sz w:val="20"/>
          <w:szCs w:val="20"/>
        </w:rPr>
        <w:t>s</w:t>
      </w:r>
      <w:r w:rsidRPr="00AF7C80">
        <w:rPr>
          <w:rFonts w:ascii="Open Sans" w:hAnsi="Open Sans" w:cs="Open Sans"/>
          <w:sz w:val="20"/>
          <w:szCs w:val="20"/>
        </w:rPr>
        <w:t xml:space="preserve">ie auf unserer Website im Newsroom unter </w:t>
      </w:r>
      <w:hyperlink r:id="rId11" w:history="1">
        <w:r w:rsidR="000B0606" w:rsidRPr="00D721AD">
          <w:rPr>
            <w:rStyle w:val="Hyperlink"/>
            <w:rFonts w:ascii="Open Sans" w:hAnsi="Open Sans" w:cs="Open Sans"/>
            <w:sz w:val="20"/>
            <w:szCs w:val="20"/>
          </w:rPr>
          <w:t>https://www.uni-koblenz.de/de/newsroom. Den Entwicklungsplan uk2030</w:t>
        </w:r>
      </w:hyperlink>
      <w:r w:rsidR="000B0606">
        <w:rPr>
          <w:rFonts w:ascii="Open Sans" w:hAnsi="Open Sans" w:cs="Open Sans"/>
          <w:sz w:val="20"/>
          <w:szCs w:val="20"/>
        </w:rPr>
        <w:t xml:space="preserve"> </w:t>
      </w:r>
      <w:r w:rsidR="008950E9" w:rsidRPr="00AF7C80">
        <w:rPr>
          <w:rFonts w:ascii="Open Sans" w:hAnsi="Open Sans" w:cs="Open Sans"/>
          <w:sz w:val="20"/>
          <w:szCs w:val="20"/>
        </w:rPr>
        <w:t xml:space="preserve">finden Sie unter </w:t>
      </w:r>
      <w:hyperlink r:id="rId12" w:history="1">
        <w:r w:rsidR="008950E9" w:rsidRPr="00AF7C80">
          <w:rPr>
            <w:rStyle w:val="Hyperlink"/>
            <w:rFonts w:ascii="Open Sans" w:hAnsi="Open Sans" w:cs="Open Sans"/>
            <w:sz w:val="20"/>
            <w:szCs w:val="20"/>
          </w:rPr>
          <w:t>https://www.uni-koblenz.de/de/universitaet/unser-profil/universitaetsentwicklungsplan</w:t>
        </w:r>
      </w:hyperlink>
      <w:r w:rsidR="008950E9" w:rsidRPr="00AF7C80">
        <w:rPr>
          <w:rFonts w:ascii="Open Sans" w:hAnsi="Open Sans" w:cs="Open Sans"/>
          <w:sz w:val="20"/>
          <w:szCs w:val="20"/>
        </w:rPr>
        <w:t>.</w:t>
      </w:r>
    </w:p>
    <w:p w14:paraId="538183EB" w14:textId="2A0275FE" w:rsidR="00651AAD" w:rsidRPr="00AF7C80" w:rsidRDefault="00393BB9">
      <w:pPr>
        <w:rPr>
          <w:rFonts w:ascii="Open Sans" w:hAnsi="Open Sans" w:cs="Open Sans"/>
          <w:b/>
          <w:bCs/>
          <w:sz w:val="20"/>
          <w:szCs w:val="20"/>
        </w:rPr>
      </w:pPr>
      <w:r w:rsidRPr="00AF7C80">
        <w:rPr>
          <w:rFonts w:ascii="Open Sans" w:hAnsi="Open Sans" w:cs="Open Sans"/>
          <w:b/>
          <w:bCs/>
          <w:sz w:val="20"/>
          <w:szCs w:val="20"/>
        </w:rPr>
        <w:t>Pressekontakt</w:t>
      </w:r>
    </w:p>
    <w:p w14:paraId="2AAEB6F9" w14:textId="1BA63A79" w:rsidR="00651AAD" w:rsidRPr="000B0606" w:rsidRDefault="00CD5129">
      <w:pPr>
        <w:rPr>
          <w:rFonts w:ascii="Open Sans" w:hAnsi="Open Sans" w:cs="Open Sans"/>
          <w:sz w:val="20"/>
          <w:szCs w:val="20"/>
        </w:rPr>
      </w:pPr>
      <w:r w:rsidRPr="00E62D39">
        <w:rPr>
          <w:rFonts w:ascii="Open Sans" w:hAnsi="Open Sans" w:cs="Open Sans"/>
          <w:sz w:val="20"/>
          <w:szCs w:val="20"/>
        </w:rPr>
        <w:t>Philipp Stieffenhofer</w:t>
      </w:r>
      <w:r w:rsidRPr="00E62D39">
        <w:rPr>
          <w:rFonts w:ascii="Open Sans" w:hAnsi="Open Sans" w:cs="Open Sans"/>
          <w:sz w:val="20"/>
          <w:szCs w:val="20"/>
        </w:rPr>
        <w:br/>
        <w:t>Tel: +49-261-287-1741</w:t>
      </w:r>
      <w:r w:rsidRPr="00E62D39">
        <w:rPr>
          <w:rFonts w:ascii="Open Sans" w:hAnsi="Open Sans" w:cs="Open Sans"/>
          <w:sz w:val="20"/>
          <w:szCs w:val="20"/>
        </w:rPr>
        <w:br/>
        <w:t xml:space="preserve">Email: </w:t>
      </w:r>
      <w:hyperlink r:id="rId13" w:history="1">
        <w:r w:rsidRPr="00E62D39">
          <w:rPr>
            <w:rStyle w:val="Hyperlink"/>
            <w:rFonts w:ascii="Open Sans" w:hAnsi="Open Sans" w:cs="Open Sans"/>
            <w:sz w:val="20"/>
            <w:szCs w:val="20"/>
          </w:rPr>
          <w:t>philippstieffenhofer@uni-koblenz.de</w:t>
        </w:r>
      </w:hyperlink>
      <w:r w:rsidRPr="00E62D39">
        <w:rPr>
          <w:rFonts w:ascii="Open Sans" w:hAnsi="Open Sans" w:cs="Open Sans"/>
          <w:sz w:val="20"/>
          <w:szCs w:val="20"/>
        </w:rPr>
        <w:t xml:space="preserve"> </w:t>
      </w:r>
    </w:p>
    <w:sectPr w:rsidR="00651AAD" w:rsidRPr="000B06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A8BC" w14:textId="77777777" w:rsidR="005E4E3C" w:rsidRDefault="005E4E3C">
      <w:pPr>
        <w:spacing w:after="0" w:line="240" w:lineRule="auto"/>
      </w:pPr>
      <w:r>
        <w:separator/>
      </w:r>
    </w:p>
  </w:endnote>
  <w:endnote w:type="continuationSeparator" w:id="0">
    <w:p w14:paraId="17B96DE4" w14:textId="77777777" w:rsidR="005E4E3C" w:rsidRDefault="005E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675D" w14:textId="77777777" w:rsidR="005E4E3C" w:rsidRDefault="005E4E3C">
      <w:pPr>
        <w:spacing w:after="0" w:line="240" w:lineRule="auto"/>
      </w:pPr>
      <w:r>
        <w:separator/>
      </w:r>
    </w:p>
  </w:footnote>
  <w:footnote w:type="continuationSeparator" w:id="0">
    <w:p w14:paraId="47DF94C9" w14:textId="77777777" w:rsidR="005E4E3C" w:rsidRDefault="005E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43F6"/>
    <w:multiLevelType w:val="hybridMultilevel"/>
    <w:tmpl w:val="046C06C6"/>
    <w:lvl w:ilvl="0" w:tplc="179895FE">
      <w:start w:val="1"/>
      <w:numFmt w:val="bullet"/>
      <w:lvlText w:val=""/>
      <w:lvlJc w:val="left"/>
      <w:pPr>
        <w:ind w:left="720" w:hanging="360"/>
      </w:pPr>
      <w:rPr>
        <w:rFonts w:ascii="Symbol" w:hAnsi="Symbol" w:hint="default"/>
      </w:rPr>
    </w:lvl>
    <w:lvl w:ilvl="1" w:tplc="AE7AEFA2">
      <w:start w:val="1"/>
      <w:numFmt w:val="bullet"/>
      <w:lvlText w:val="o"/>
      <w:lvlJc w:val="left"/>
      <w:pPr>
        <w:ind w:left="1440" w:hanging="360"/>
      </w:pPr>
      <w:rPr>
        <w:rFonts w:ascii="Courier New" w:hAnsi="Courier New" w:cs="Courier New" w:hint="default"/>
      </w:rPr>
    </w:lvl>
    <w:lvl w:ilvl="2" w:tplc="DC0079DA">
      <w:start w:val="1"/>
      <w:numFmt w:val="bullet"/>
      <w:lvlText w:val=""/>
      <w:lvlJc w:val="left"/>
      <w:pPr>
        <w:ind w:left="2160" w:hanging="360"/>
      </w:pPr>
      <w:rPr>
        <w:rFonts w:ascii="Wingdings" w:hAnsi="Wingdings" w:hint="default"/>
      </w:rPr>
    </w:lvl>
    <w:lvl w:ilvl="3" w:tplc="28909628">
      <w:start w:val="1"/>
      <w:numFmt w:val="bullet"/>
      <w:lvlText w:val=""/>
      <w:lvlJc w:val="left"/>
      <w:pPr>
        <w:ind w:left="2880" w:hanging="360"/>
      </w:pPr>
      <w:rPr>
        <w:rFonts w:ascii="Symbol" w:hAnsi="Symbol" w:hint="default"/>
      </w:rPr>
    </w:lvl>
    <w:lvl w:ilvl="4" w:tplc="1AD4A99A">
      <w:start w:val="1"/>
      <w:numFmt w:val="bullet"/>
      <w:lvlText w:val="o"/>
      <w:lvlJc w:val="left"/>
      <w:pPr>
        <w:ind w:left="3600" w:hanging="360"/>
      </w:pPr>
      <w:rPr>
        <w:rFonts w:ascii="Courier New" w:hAnsi="Courier New" w:cs="Courier New" w:hint="default"/>
      </w:rPr>
    </w:lvl>
    <w:lvl w:ilvl="5" w:tplc="1AA6CE54">
      <w:start w:val="1"/>
      <w:numFmt w:val="bullet"/>
      <w:lvlText w:val=""/>
      <w:lvlJc w:val="left"/>
      <w:pPr>
        <w:ind w:left="4320" w:hanging="360"/>
      </w:pPr>
      <w:rPr>
        <w:rFonts w:ascii="Wingdings" w:hAnsi="Wingdings" w:hint="default"/>
      </w:rPr>
    </w:lvl>
    <w:lvl w:ilvl="6" w:tplc="0E82F964">
      <w:start w:val="1"/>
      <w:numFmt w:val="bullet"/>
      <w:lvlText w:val=""/>
      <w:lvlJc w:val="left"/>
      <w:pPr>
        <w:ind w:left="5040" w:hanging="360"/>
      </w:pPr>
      <w:rPr>
        <w:rFonts w:ascii="Symbol" w:hAnsi="Symbol" w:hint="default"/>
      </w:rPr>
    </w:lvl>
    <w:lvl w:ilvl="7" w:tplc="2D043FF0">
      <w:start w:val="1"/>
      <w:numFmt w:val="bullet"/>
      <w:lvlText w:val="o"/>
      <w:lvlJc w:val="left"/>
      <w:pPr>
        <w:ind w:left="5760" w:hanging="360"/>
      </w:pPr>
      <w:rPr>
        <w:rFonts w:ascii="Courier New" w:hAnsi="Courier New" w:cs="Courier New" w:hint="default"/>
      </w:rPr>
    </w:lvl>
    <w:lvl w:ilvl="8" w:tplc="26C832A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AD"/>
    <w:rsid w:val="00024BAC"/>
    <w:rsid w:val="000417A8"/>
    <w:rsid w:val="000B0606"/>
    <w:rsid w:val="000F67CC"/>
    <w:rsid w:val="0013253B"/>
    <w:rsid w:val="0015609F"/>
    <w:rsid w:val="00174A34"/>
    <w:rsid w:val="001D7080"/>
    <w:rsid w:val="001D7B4D"/>
    <w:rsid w:val="0025183C"/>
    <w:rsid w:val="0026179C"/>
    <w:rsid w:val="00263763"/>
    <w:rsid w:val="00360843"/>
    <w:rsid w:val="0036632E"/>
    <w:rsid w:val="00383EBF"/>
    <w:rsid w:val="00393BB9"/>
    <w:rsid w:val="003D7767"/>
    <w:rsid w:val="00435ADE"/>
    <w:rsid w:val="004E2D15"/>
    <w:rsid w:val="0053093D"/>
    <w:rsid w:val="00543965"/>
    <w:rsid w:val="005B0F4C"/>
    <w:rsid w:val="005B31B8"/>
    <w:rsid w:val="005E1AB9"/>
    <w:rsid w:val="005E4E3C"/>
    <w:rsid w:val="005F72DD"/>
    <w:rsid w:val="00604FCF"/>
    <w:rsid w:val="00651AAD"/>
    <w:rsid w:val="00693FE0"/>
    <w:rsid w:val="006B7F8F"/>
    <w:rsid w:val="00717858"/>
    <w:rsid w:val="00777B94"/>
    <w:rsid w:val="007A330A"/>
    <w:rsid w:val="00813E0F"/>
    <w:rsid w:val="008950E9"/>
    <w:rsid w:val="00897BD3"/>
    <w:rsid w:val="008C6FAB"/>
    <w:rsid w:val="00904F85"/>
    <w:rsid w:val="0091722B"/>
    <w:rsid w:val="009A4117"/>
    <w:rsid w:val="00A24346"/>
    <w:rsid w:val="00A416E4"/>
    <w:rsid w:val="00AA4F76"/>
    <w:rsid w:val="00AC0E19"/>
    <w:rsid w:val="00AD3246"/>
    <w:rsid w:val="00AF7C80"/>
    <w:rsid w:val="00B13D85"/>
    <w:rsid w:val="00B5088C"/>
    <w:rsid w:val="00C44751"/>
    <w:rsid w:val="00CD5129"/>
    <w:rsid w:val="00CE312D"/>
    <w:rsid w:val="00CF6417"/>
    <w:rsid w:val="00D0202E"/>
    <w:rsid w:val="00D21C79"/>
    <w:rsid w:val="00D509C1"/>
    <w:rsid w:val="00DB0508"/>
    <w:rsid w:val="00DD1B60"/>
    <w:rsid w:val="00DF054C"/>
    <w:rsid w:val="00E41F15"/>
    <w:rsid w:val="00E62D39"/>
    <w:rsid w:val="00E75D88"/>
    <w:rsid w:val="00EC406D"/>
    <w:rsid w:val="00ED529F"/>
    <w:rsid w:val="00EE7BFE"/>
    <w:rsid w:val="00EF32C5"/>
    <w:rsid w:val="00F00DFD"/>
    <w:rsid w:val="00F83694"/>
    <w:rsid w:val="00FC6ABE"/>
    <w:rsid w:val="00FD4621"/>
    <w:rsid w:val="00FD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9201"/>
  <w15:docId w15:val="{766D752B-D1EE-479F-8924-39DD9EB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E1DFDD"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3996">
      <w:bodyDiv w:val="1"/>
      <w:marLeft w:val="0"/>
      <w:marRight w:val="0"/>
      <w:marTop w:val="0"/>
      <w:marBottom w:val="0"/>
      <w:divBdr>
        <w:top w:val="none" w:sz="0" w:space="0" w:color="auto"/>
        <w:left w:val="none" w:sz="0" w:space="0" w:color="auto"/>
        <w:bottom w:val="none" w:sz="0" w:space="0" w:color="auto"/>
        <w:right w:val="none" w:sz="0" w:space="0" w:color="auto"/>
      </w:divBdr>
      <w:divsChild>
        <w:div w:id="405034425">
          <w:marLeft w:val="0"/>
          <w:marRight w:val="0"/>
          <w:marTop w:val="0"/>
          <w:marBottom w:val="0"/>
          <w:divBdr>
            <w:top w:val="none" w:sz="0" w:space="0" w:color="auto"/>
            <w:left w:val="none" w:sz="0" w:space="0" w:color="auto"/>
            <w:bottom w:val="none" w:sz="0" w:space="0" w:color="auto"/>
            <w:right w:val="none" w:sz="0" w:space="0" w:color="auto"/>
          </w:divBdr>
        </w:div>
        <w:div w:id="910504875">
          <w:marLeft w:val="0"/>
          <w:marRight w:val="0"/>
          <w:marTop w:val="0"/>
          <w:marBottom w:val="0"/>
          <w:divBdr>
            <w:top w:val="none" w:sz="0" w:space="0" w:color="auto"/>
            <w:left w:val="none" w:sz="0" w:space="0" w:color="auto"/>
            <w:bottom w:val="none" w:sz="0" w:space="0" w:color="auto"/>
            <w:right w:val="none" w:sz="0" w:space="0" w:color="auto"/>
          </w:divBdr>
        </w:div>
        <w:div w:id="1178084095">
          <w:marLeft w:val="0"/>
          <w:marRight w:val="0"/>
          <w:marTop w:val="0"/>
          <w:marBottom w:val="0"/>
          <w:divBdr>
            <w:top w:val="none" w:sz="0" w:space="0" w:color="auto"/>
            <w:left w:val="none" w:sz="0" w:space="0" w:color="auto"/>
            <w:bottom w:val="none" w:sz="0" w:space="0" w:color="auto"/>
            <w:right w:val="none" w:sz="0" w:space="0" w:color="auto"/>
          </w:divBdr>
        </w:div>
        <w:div w:id="697658160">
          <w:marLeft w:val="0"/>
          <w:marRight w:val="0"/>
          <w:marTop w:val="0"/>
          <w:marBottom w:val="0"/>
          <w:divBdr>
            <w:top w:val="none" w:sz="0" w:space="0" w:color="auto"/>
            <w:left w:val="none" w:sz="0" w:space="0" w:color="auto"/>
            <w:bottom w:val="none" w:sz="0" w:space="0" w:color="auto"/>
            <w:right w:val="none" w:sz="0" w:space="0" w:color="auto"/>
          </w:divBdr>
        </w:div>
        <w:div w:id="1060447129">
          <w:marLeft w:val="0"/>
          <w:marRight w:val="0"/>
          <w:marTop w:val="0"/>
          <w:marBottom w:val="0"/>
          <w:divBdr>
            <w:top w:val="none" w:sz="0" w:space="0" w:color="auto"/>
            <w:left w:val="none" w:sz="0" w:space="0" w:color="auto"/>
            <w:bottom w:val="none" w:sz="0" w:space="0" w:color="auto"/>
            <w:right w:val="none" w:sz="0" w:space="0" w:color="auto"/>
          </w:divBdr>
        </w:div>
        <w:div w:id="945842852">
          <w:marLeft w:val="0"/>
          <w:marRight w:val="0"/>
          <w:marTop w:val="0"/>
          <w:marBottom w:val="0"/>
          <w:divBdr>
            <w:top w:val="none" w:sz="0" w:space="0" w:color="auto"/>
            <w:left w:val="none" w:sz="0" w:space="0" w:color="auto"/>
            <w:bottom w:val="none" w:sz="0" w:space="0" w:color="auto"/>
            <w:right w:val="none" w:sz="0" w:space="0" w:color="auto"/>
          </w:divBdr>
        </w:div>
        <w:div w:id="1269653881">
          <w:marLeft w:val="0"/>
          <w:marRight w:val="0"/>
          <w:marTop w:val="0"/>
          <w:marBottom w:val="0"/>
          <w:divBdr>
            <w:top w:val="none" w:sz="0" w:space="0" w:color="auto"/>
            <w:left w:val="none" w:sz="0" w:space="0" w:color="auto"/>
            <w:bottom w:val="none" w:sz="0" w:space="0" w:color="auto"/>
            <w:right w:val="none" w:sz="0" w:space="0" w:color="auto"/>
          </w:divBdr>
        </w:div>
        <w:div w:id="221645430">
          <w:marLeft w:val="0"/>
          <w:marRight w:val="0"/>
          <w:marTop w:val="0"/>
          <w:marBottom w:val="0"/>
          <w:divBdr>
            <w:top w:val="none" w:sz="0" w:space="0" w:color="auto"/>
            <w:left w:val="none" w:sz="0" w:space="0" w:color="auto"/>
            <w:bottom w:val="none" w:sz="0" w:space="0" w:color="auto"/>
            <w:right w:val="none" w:sz="0" w:space="0" w:color="auto"/>
          </w:divBdr>
        </w:div>
        <w:div w:id="1720089217">
          <w:marLeft w:val="0"/>
          <w:marRight w:val="0"/>
          <w:marTop w:val="0"/>
          <w:marBottom w:val="0"/>
          <w:divBdr>
            <w:top w:val="none" w:sz="0" w:space="0" w:color="auto"/>
            <w:left w:val="none" w:sz="0" w:space="0" w:color="auto"/>
            <w:bottom w:val="none" w:sz="0" w:space="0" w:color="auto"/>
            <w:right w:val="none" w:sz="0" w:space="0" w:color="auto"/>
          </w:divBdr>
        </w:div>
        <w:div w:id="1654798718">
          <w:marLeft w:val="0"/>
          <w:marRight w:val="0"/>
          <w:marTop w:val="0"/>
          <w:marBottom w:val="0"/>
          <w:divBdr>
            <w:top w:val="none" w:sz="0" w:space="0" w:color="auto"/>
            <w:left w:val="none" w:sz="0" w:space="0" w:color="auto"/>
            <w:bottom w:val="none" w:sz="0" w:space="0" w:color="auto"/>
            <w:right w:val="none" w:sz="0" w:space="0" w:color="auto"/>
          </w:divBdr>
        </w:div>
        <w:div w:id="395713712">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hilippstieffenhofer@uni-koblen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koblenz.de/de/universitaet/unser-profil/universitaetsentwicklungs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koblenz.de/de/newsroom.%20Den%20Entwicklungsplan%20uk2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Stieffenhofer</dc:creator>
  <cp:keywords/>
  <dc:description/>
  <cp:lastModifiedBy>Philipp Stieffenhofer</cp:lastModifiedBy>
  <cp:revision>8</cp:revision>
  <dcterms:created xsi:type="dcterms:W3CDTF">2023-09-14T08:20:00Z</dcterms:created>
  <dcterms:modified xsi:type="dcterms:W3CDTF">2023-09-15T11:58:00Z</dcterms:modified>
</cp:coreProperties>
</file>